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E4B6" w14:textId="774AA09D" w:rsidR="00DF6AA8" w:rsidRDefault="009529F6" w:rsidP="002073E6">
      <w:pPr>
        <w:pStyle w:val="BodyText"/>
        <w:spacing w:after="0" w:line="360" w:lineRule="auto"/>
        <w:jc w:val="center"/>
      </w:pPr>
      <w:r>
        <w:rPr>
          <w:noProof/>
        </w:rPr>
        <w:drawing>
          <wp:inline distT="0" distB="0" distL="0" distR="0" wp14:anchorId="6395B35C" wp14:editId="1DD16CD7">
            <wp:extent cx="1992318" cy="936000"/>
            <wp:effectExtent l="0" t="0" r="8255" b="0"/>
            <wp:docPr id="2" name="Picture 2" descr="Courts and Tribunals Judic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urts and Tribunals Judici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8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33B14" w14:textId="1042B151" w:rsidR="002C41A9" w:rsidRPr="00FB6BF6" w:rsidRDefault="00C23B7B" w:rsidP="002073E6">
      <w:pPr>
        <w:pStyle w:val="BodyText"/>
        <w:spacing w:after="0" w:line="360" w:lineRule="auto"/>
        <w:jc w:val="center"/>
        <w:rPr>
          <w:b/>
          <w:bCs/>
          <w:sz w:val="28"/>
          <w:szCs w:val="24"/>
        </w:rPr>
      </w:pPr>
      <w:r w:rsidRPr="00FB6BF6">
        <w:rPr>
          <w:b/>
          <w:bCs/>
          <w:sz w:val="28"/>
          <w:szCs w:val="24"/>
        </w:rPr>
        <w:t>THE CROWN COURT AT LUTON</w:t>
      </w:r>
    </w:p>
    <w:p w14:paraId="699932F6" w14:textId="1C95144B" w:rsidR="00C23B7B" w:rsidRPr="00FB6BF6" w:rsidRDefault="00C23B7B" w:rsidP="002073E6">
      <w:pPr>
        <w:pStyle w:val="BodyText"/>
        <w:spacing w:after="0" w:line="360" w:lineRule="auto"/>
        <w:jc w:val="center"/>
        <w:rPr>
          <w:sz w:val="28"/>
          <w:szCs w:val="24"/>
        </w:rPr>
      </w:pPr>
      <w:r w:rsidRPr="00FB6BF6">
        <w:rPr>
          <w:sz w:val="28"/>
          <w:szCs w:val="24"/>
        </w:rPr>
        <w:t xml:space="preserve">INFORMATION </w:t>
      </w:r>
      <w:r w:rsidR="00364380">
        <w:rPr>
          <w:sz w:val="28"/>
          <w:szCs w:val="24"/>
        </w:rPr>
        <w:t xml:space="preserve">&amp; GUIDANCE </w:t>
      </w:r>
      <w:r w:rsidRPr="00FB6BF6">
        <w:rPr>
          <w:sz w:val="28"/>
          <w:szCs w:val="24"/>
        </w:rPr>
        <w:t>FOR LEGAL PROFESSIONALS</w:t>
      </w:r>
    </w:p>
    <w:p w14:paraId="40C9AF6E" w14:textId="77777777" w:rsidR="00D01EC0" w:rsidRDefault="00D01EC0" w:rsidP="00B43369">
      <w:pPr>
        <w:pStyle w:val="BodyText"/>
        <w:spacing w:after="0" w:line="264" w:lineRule="auto"/>
        <w:rPr>
          <w:b/>
          <w:bCs/>
          <w:i/>
          <w:iCs/>
        </w:rPr>
      </w:pPr>
    </w:p>
    <w:p w14:paraId="4D7081CD" w14:textId="632C97D5" w:rsidR="00C23B7B" w:rsidRPr="004931DD" w:rsidRDefault="00C23B7B" w:rsidP="00B43369">
      <w:pPr>
        <w:pStyle w:val="BodyText"/>
        <w:spacing w:after="0" w:line="264" w:lineRule="auto"/>
        <w:rPr>
          <w:b/>
          <w:bCs/>
          <w:i/>
          <w:iCs/>
        </w:rPr>
      </w:pPr>
      <w:r w:rsidRPr="004931DD">
        <w:rPr>
          <w:b/>
          <w:bCs/>
          <w:i/>
          <w:iCs/>
        </w:rPr>
        <w:t>Introduction</w:t>
      </w:r>
    </w:p>
    <w:p w14:paraId="4CEFC5B8" w14:textId="104F3CF1" w:rsidR="00C23B7B" w:rsidRPr="00950BC2" w:rsidRDefault="00C23B7B" w:rsidP="00B43369">
      <w:pPr>
        <w:pStyle w:val="BodyText"/>
        <w:spacing w:after="0" w:line="264" w:lineRule="auto"/>
        <w:jc w:val="both"/>
        <w:rPr>
          <w:sz w:val="23"/>
          <w:szCs w:val="23"/>
        </w:rPr>
      </w:pPr>
      <w:r w:rsidRPr="00950BC2">
        <w:rPr>
          <w:sz w:val="23"/>
          <w:szCs w:val="23"/>
        </w:rPr>
        <w:t xml:space="preserve">Each court centre faces its own permutation of challenges to reducing its backlog and ensuring </w:t>
      </w:r>
      <w:r w:rsidR="00793B4C" w:rsidRPr="00950BC2">
        <w:rPr>
          <w:sz w:val="23"/>
          <w:szCs w:val="23"/>
        </w:rPr>
        <w:t>optimum</w:t>
      </w:r>
      <w:r w:rsidRPr="00950BC2">
        <w:rPr>
          <w:sz w:val="23"/>
          <w:szCs w:val="23"/>
        </w:rPr>
        <w:t xml:space="preserve"> use of its available resources.  This document is intended to set out the general approach to be taken at Luton to listing and other measures </w:t>
      </w:r>
      <w:r w:rsidR="001D4A5A" w:rsidRPr="00950BC2">
        <w:rPr>
          <w:sz w:val="23"/>
          <w:szCs w:val="23"/>
        </w:rPr>
        <w:t>intended to promote efficient and effective case progression and trial management.</w:t>
      </w:r>
      <w:r w:rsidR="00B058F1" w:rsidRPr="00950BC2">
        <w:rPr>
          <w:sz w:val="23"/>
          <w:szCs w:val="23"/>
        </w:rPr>
        <w:t xml:space="preserve">  </w:t>
      </w:r>
      <w:r w:rsidR="00FC1174" w:rsidRPr="00950BC2">
        <w:rPr>
          <w:sz w:val="23"/>
          <w:szCs w:val="23"/>
        </w:rPr>
        <w:t xml:space="preserve">The </w:t>
      </w:r>
      <w:r w:rsidR="00B058F1" w:rsidRPr="00950BC2">
        <w:rPr>
          <w:sz w:val="23"/>
          <w:szCs w:val="23"/>
        </w:rPr>
        <w:t xml:space="preserve">document </w:t>
      </w:r>
      <w:r w:rsidR="00C672DB" w:rsidRPr="00950BC2">
        <w:rPr>
          <w:sz w:val="23"/>
          <w:szCs w:val="23"/>
        </w:rPr>
        <w:t>seeks</w:t>
      </w:r>
      <w:r w:rsidR="00B058F1" w:rsidRPr="00950BC2">
        <w:rPr>
          <w:sz w:val="23"/>
          <w:szCs w:val="23"/>
        </w:rPr>
        <w:t xml:space="preserve"> to convey the Court’s desire to </w:t>
      </w:r>
      <w:r w:rsidR="005D2F90" w:rsidRPr="00950BC2">
        <w:rPr>
          <w:sz w:val="23"/>
          <w:szCs w:val="23"/>
        </w:rPr>
        <w:t>engage positively</w:t>
      </w:r>
      <w:r w:rsidR="00A70E58" w:rsidRPr="00950BC2">
        <w:rPr>
          <w:sz w:val="23"/>
          <w:szCs w:val="23"/>
        </w:rPr>
        <w:t xml:space="preserve"> and constructively</w:t>
      </w:r>
      <w:r w:rsidR="00F905A8" w:rsidRPr="00950BC2">
        <w:rPr>
          <w:sz w:val="23"/>
          <w:szCs w:val="23"/>
        </w:rPr>
        <w:t xml:space="preserve"> with the legal professionals appearing before it, while</w:t>
      </w:r>
      <w:r w:rsidR="005A7C8B" w:rsidRPr="00950BC2">
        <w:rPr>
          <w:sz w:val="23"/>
          <w:szCs w:val="23"/>
        </w:rPr>
        <w:t xml:space="preserve"> factoring in all other relevant considerations.</w:t>
      </w:r>
      <w:r w:rsidR="00431247" w:rsidRPr="00950BC2">
        <w:rPr>
          <w:sz w:val="23"/>
          <w:szCs w:val="23"/>
        </w:rPr>
        <w:t xml:space="preserve">  Advocates, </w:t>
      </w:r>
      <w:proofErr w:type="gramStart"/>
      <w:r w:rsidR="00431247" w:rsidRPr="00950BC2">
        <w:rPr>
          <w:sz w:val="23"/>
          <w:szCs w:val="23"/>
        </w:rPr>
        <w:t>judges</w:t>
      </w:r>
      <w:proofErr w:type="gramEnd"/>
      <w:r w:rsidR="00431247" w:rsidRPr="00950BC2">
        <w:rPr>
          <w:sz w:val="23"/>
          <w:szCs w:val="23"/>
        </w:rPr>
        <w:t xml:space="preserve"> and court staff are all experiencing significant pressure</w:t>
      </w:r>
      <w:r w:rsidR="0060105F" w:rsidRPr="00950BC2">
        <w:rPr>
          <w:sz w:val="23"/>
          <w:szCs w:val="23"/>
        </w:rPr>
        <w:t xml:space="preserve">s and it is hoped that the contents of this document will contribute to a reduction </w:t>
      </w:r>
      <w:r w:rsidR="004208DC" w:rsidRPr="00950BC2">
        <w:rPr>
          <w:sz w:val="23"/>
          <w:szCs w:val="23"/>
        </w:rPr>
        <w:t>in this</w:t>
      </w:r>
      <w:r w:rsidR="00956E4F" w:rsidRPr="00950BC2">
        <w:rPr>
          <w:sz w:val="23"/>
          <w:szCs w:val="23"/>
        </w:rPr>
        <w:t>,</w:t>
      </w:r>
      <w:r w:rsidR="000D3420" w:rsidRPr="00950BC2">
        <w:rPr>
          <w:sz w:val="23"/>
          <w:szCs w:val="23"/>
        </w:rPr>
        <w:t xml:space="preserve"> as well as improved efficiency for all concerned in the process.</w:t>
      </w:r>
    </w:p>
    <w:p w14:paraId="6119CA58" w14:textId="77777777" w:rsidR="0032313D" w:rsidRPr="00950BC2" w:rsidRDefault="0032313D" w:rsidP="00B43369">
      <w:pPr>
        <w:pStyle w:val="BodyText"/>
        <w:spacing w:after="0" w:line="264" w:lineRule="auto"/>
        <w:jc w:val="both"/>
        <w:rPr>
          <w:sz w:val="23"/>
          <w:szCs w:val="23"/>
        </w:rPr>
      </w:pPr>
    </w:p>
    <w:p w14:paraId="78D04C3F" w14:textId="55BB6A3C" w:rsidR="001D4A5A" w:rsidRPr="00950BC2" w:rsidRDefault="00B25678" w:rsidP="00B43369">
      <w:pPr>
        <w:pStyle w:val="BodyText"/>
        <w:spacing w:after="0" w:line="264" w:lineRule="auto"/>
        <w:jc w:val="both"/>
        <w:rPr>
          <w:sz w:val="23"/>
          <w:szCs w:val="23"/>
        </w:rPr>
      </w:pPr>
      <w:r w:rsidRPr="00950BC2">
        <w:rPr>
          <w:sz w:val="23"/>
          <w:szCs w:val="23"/>
        </w:rPr>
        <w:t xml:space="preserve">Insofar as anything in this document </w:t>
      </w:r>
      <w:r w:rsidR="00C94A48" w:rsidRPr="00950BC2">
        <w:rPr>
          <w:sz w:val="23"/>
          <w:szCs w:val="23"/>
        </w:rPr>
        <w:t xml:space="preserve">may appear different from the general expectations in BCM </w:t>
      </w:r>
      <w:r w:rsidR="00BD5DC3">
        <w:rPr>
          <w:sz w:val="23"/>
          <w:szCs w:val="23"/>
        </w:rPr>
        <w:t>[</w:t>
      </w:r>
      <w:r w:rsidR="00C94A48" w:rsidRPr="00950BC2">
        <w:rPr>
          <w:sz w:val="23"/>
          <w:szCs w:val="23"/>
        </w:rPr>
        <w:t>Revived</w:t>
      </w:r>
      <w:r w:rsidR="00BD5DC3">
        <w:rPr>
          <w:sz w:val="23"/>
          <w:szCs w:val="23"/>
        </w:rPr>
        <w:t>]</w:t>
      </w:r>
      <w:r w:rsidR="00D02EDF">
        <w:rPr>
          <w:sz w:val="23"/>
          <w:szCs w:val="23"/>
        </w:rPr>
        <w:t xml:space="preserve"> (</w:t>
      </w:r>
      <w:proofErr w:type="gramStart"/>
      <w:r w:rsidR="00D02EDF">
        <w:rPr>
          <w:sz w:val="23"/>
          <w:szCs w:val="23"/>
        </w:rPr>
        <w:t xml:space="preserve">in particular </w:t>
      </w:r>
      <w:r w:rsidR="009302DD">
        <w:rPr>
          <w:sz w:val="23"/>
          <w:szCs w:val="23"/>
        </w:rPr>
        <w:t>no</w:t>
      </w:r>
      <w:proofErr w:type="gramEnd"/>
      <w:r w:rsidR="009302DD">
        <w:rPr>
          <w:sz w:val="23"/>
          <w:szCs w:val="23"/>
        </w:rPr>
        <w:t xml:space="preserve"> more than four hearings and attendance in person)</w:t>
      </w:r>
      <w:r w:rsidR="00870254" w:rsidRPr="00950BC2">
        <w:rPr>
          <w:sz w:val="23"/>
          <w:szCs w:val="23"/>
        </w:rPr>
        <w:t xml:space="preserve">, </w:t>
      </w:r>
      <w:r w:rsidR="00507AEC" w:rsidRPr="00950BC2">
        <w:rPr>
          <w:sz w:val="23"/>
          <w:szCs w:val="23"/>
        </w:rPr>
        <w:t xml:space="preserve">it is to be considered as a temporary measure </w:t>
      </w:r>
      <w:r w:rsidR="00E67792" w:rsidRPr="00950BC2">
        <w:rPr>
          <w:sz w:val="23"/>
          <w:szCs w:val="23"/>
        </w:rPr>
        <w:t xml:space="preserve">to address the difficulties presently affecting the </w:t>
      </w:r>
      <w:r w:rsidR="009B6620" w:rsidRPr="00950BC2">
        <w:rPr>
          <w:sz w:val="23"/>
          <w:szCs w:val="23"/>
        </w:rPr>
        <w:t>C</w:t>
      </w:r>
      <w:r w:rsidR="00E67792" w:rsidRPr="00950BC2">
        <w:rPr>
          <w:sz w:val="23"/>
          <w:szCs w:val="23"/>
        </w:rPr>
        <w:t xml:space="preserve">ourt’s ability </w:t>
      </w:r>
      <w:r w:rsidR="000A0CF2" w:rsidRPr="00950BC2">
        <w:rPr>
          <w:sz w:val="23"/>
          <w:szCs w:val="23"/>
        </w:rPr>
        <w:t xml:space="preserve">to progress all cases in its </w:t>
      </w:r>
      <w:r w:rsidR="00C8078C" w:rsidRPr="00950BC2">
        <w:rPr>
          <w:sz w:val="23"/>
          <w:szCs w:val="23"/>
        </w:rPr>
        <w:t xml:space="preserve">workload </w:t>
      </w:r>
      <w:r w:rsidR="00732170" w:rsidRPr="00950BC2">
        <w:rPr>
          <w:sz w:val="23"/>
          <w:szCs w:val="23"/>
        </w:rPr>
        <w:t>in the o</w:t>
      </w:r>
      <w:r w:rsidR="00A05EA5" w:rsidRPr="00950BC2">
        <w:rPr>
          <w:sz w:val="23"/>
          <w:szCs w:val="23"/>
        </w:rPr>
        <w:t>ptimum manner</w:t>
      </w:r>
      <w:r w:rsidR="00395A63" w:rsidRPr="00950BC2">
        <w:rPr>
          <w:sz w:val="23"/>
          <w:szCs w:val="23"/>
        </w:rPr>
        <w:t>.</w:t>
      </w:r>
      <w:r w:rsidR="00410660" w:rsidRPr="00950BC2">
        <w:rPr>
          <w:sz w:val="23"/>
          <w:szCs w:val="23"/>
        </w:rPr>
        <w:t xml:space="preserve">  </w:t>
      </w:r>
      <w:r w:rsidR="00E83FEA" w:rsidRPr="00950BC2">
        <w:rPr>
          <w:sz w:val="23"/>
          <w:szCs w:val="23"/>
        </w:rPr>
        <w:t xml:space="preserve">The Court intends to keep </w:t>
      </w:r>
      <w:r w:rsidR="001C2713" w:rsidRPr="00950BC2">
        <w:rPr>
          <w:sz w:val="23"/>
          <w:szCs w:val="23"/>
        </w:rPr>
        <w:t xml:space="preserve">its approach under </w:t>
      </w:r>
      <w:r w:rsidR="004E6D89" w:rsidRPr="00950BC2">
        <w:rPr>
          <w:sz w:val="23"/>
          <w:szCs w:val="23"/>
        </w:rPr>
        <w:t xml:space="preserve">regular </w:t>
      </w:r>
      <w:r w:rsidR="001C2713" w:rsidRPr="00950BC2">
        <w:rPr>
          <w:sz w:val="23"/>
          <w:szCs w:val="23"/>
        </w:rPr>
        <w:t>review</w:t>
      </w:r>
      <w:r w:rsidR="00A72B9A" w:rsidRPr="00950BC2">
        <w:rPr>
          <w:sz w:val="23"/>
          <w:szCs w:val="23"/>
        </w:rPr>
        <w:t xml:space="preserve"> to maintain its effectiveness in achieving its goal.</w:t>
      </w:r>
    </w:p>
    <w:p w14:paraId="78E4C41F" w14:textId="77777777" w:rsidR="00FD5850" w:rsidRDefault="00FD5850" w:rsidP="00B43369">
      <w:pPr>
        <w:pStyle w:val="BodyText"/>
        <w:spacing w:after="0" w:line="264" w:lineRule="auto"/>
        <w:rPr>
          <w:i/>
          <w:iCs/>
        </w:rPr>
      </w:pPr>
    </w:p>
    <w:p w14:paraId="11EC19FB" w14:textId="3A520DB6" w:rsidR="00395A63" w:rsidRPr="004931DD" w:rsidRDefault="00C44A54" w:rsidP="00B43369">
      <w:pPr>
        <w:pStyle w:val="BodyText"/>
        <w:spacing w:after="0" w:line="264" w:lineRule="auto"/>
        <w:rPr>
          <w:b/>
          <w:bCs/>
          <w:i/>
          <w:iCs/>
        </w:rPr>
      </w:pPr>
      <w:r w:rsidRPr="004931DD">
        <w:rPr>
          <w:b/>
          <w:bCs/>
          <w:i/>
          <w:iCs/>
        </w:rPr>
        <w:t>Listing</w:t>
      </w:r>
    </w:p>
    <w:p w14:paraId="112F5C84" w14:textId="499EDD7E" w:rsidR="00423B22" w:rsidRPr="00280CE8" w:rsidRDefault="006522F3" w:rsidP="00B43369">
      <w:pPr>
        <w:pStyle w:val="BodyText"/>
        <w:spacing w:after="0" w:line="264" w:lineRule="auto"/>
        <w:jc w:val="both"/>
        <w:rPr>
          <w:sz w:val="23"/>
          <w:szCs w:val="23"/>
        </w:rPr>
      </w:pPr>
      <w:r w:rsidRPr="00280CE8">
        <w:rPr>
          <w:sz w:val="23"/>
          <w:szCs w:val="23"/>
        </w:rPr>
        <w:t xml:space="preserve">Following </w:t>
      </w:r>
      <w:r w:rsidR="00CF088B" w:rsidRPr="00280CE8">
        <w:rPr>
          <w:sz w:val="23"/>
          <w:szCs w:val="23"/>
        </w:rPr>
        <w:t xml:space="preserve">careful consideration of the alternatives, Luton has </w:t>
      </w:r>
      <w:r w:rsidR="005E1E9A" w:rsidRPr="00280CE8">
        <w:rPr>
          <w:sz w:val="23"/>
          <w:szCs w:val="23"/>
        </w:rPr>
        <w:t xml:space="preserve">moved to fixed </w:t>
      </w:r>
      <w:r w:rsidR="002F686F" w:rsidRPr="00280CE8">
        <w:rPr>
          <w:sz w:val="23"/>
          <w:szCs w:val="23"/>
        </w:rPr>
        <w:t xml:space="preserve">trial </w:t>
      </w:r>
      <w:r w:rsidR="005E1E9A" w:rsidRPr="00280CE8">
        <w:rPr>
          <w:sz w:val="23"/>
          <w:szCs w:val="23"/>
        </w:rPr>
        <w:t xml:space="preserve">dates for all new </w:t>
      </w:r>
      <w:r w:rsidR="002F686F" w:rsidRPr="00280CE8">
        <w:rPr>
          <w:sz w:val="23"/>
          <w:szCs w:val="23"/>
        </w:rPr>
        <w:t>cases received</w:t>
      </w:r>
      <w:r w:rsidR="00506B4D" w:rsidRPr="00280CE8">
        <w:rPr>
          <w:sz w:val="23"/>
          <w:szCs w:val="23"/>
        </w:rPr>
        <w:t xml:space="preserve"> </w:t>
      </w:r>
      <w:r w:rsidR="004A3548" w:rsidRPr="00280CE8">
        <w:rPr>
          <w:sz w:val="23"/>
          <w:szCs w:val="23"/>
        </w:rPr>
        <w:t>since January this year.</w:t>
      </w:r>
      <w:r w:rsidR="00083AE8" w:rsidRPr="00280CE8">
        <w:rPr>
          <w:sz w:val="23"/>
          <w:szCs w:val="23"/>
        </w:rPr>
        <w:t xml:space="preserve"> </w:t>
      </w:r>
      <w:r w:rsidR="004A3548" w:rsidRPr="00280CE8">
        <w:rPr>
          <w:sz w:val="23"/>
          <w:szCs w:val="23"/>
        </w:rPr>
        <w:t xml:space="preserve"> </w:t>
      </w:r>
      <w:r w:rsidR="00083AE8" w:rsidRPr="00280CE8">
        <w:rPr>
          <w:sz w:val="23"/>
          <w:szCs w:val="23"/>
        </w:rPr>
        <w:t xml:space="preserve">The </w:t>
      </w:r>
      <w:r w:rsidR="00B174CD" w:rsidRPr="00280CE8">
        <w:rPr>
          <w:sz w:val="23"/>
          <w:szCs w:val="23"/>
        </w:rPr>
        <w:t xml:space="preserve">composition </w:t>
      </w:r>
      <w:r w:rsidR="00083AE8" w:rsidRPr="00280CE8">
        <w:rPr>
          <w:sz w:val="23"/>
          <w:szCs w:val="23"/>
        </w:rPr>
        <w:t xml:space="preserve">of work </w:t>
      </w:r>
      <w:r w:rsidR="003970FD" w:rsidRPr="00280CE8">
        <w:rPr>
          <w:sz w:val="23"/>
          <w:szCs w:val="23"/>
        </w:rPr>
        <w:t>at Luton</w:t>
      </w:r>
      <w:r w:rsidR="00C75B26" w:rsidRPr="00280CE8">
        <w:rPr>
          <w:sz w:val="23"/>
          <w:szCs w:val="23"/>
        </w:rPr>
        <w:t xml:space="preserve"> is such that </w:t>
      </w:r>
      <w:r w:rsidR="005657F8" w:rsidRPr="00280CE8">
        <w:rPr>
          <w:sz w:val="23"/>
          <w:szCs w:val="23"/>
        </w:rPr>
        <w:t>existing</w:t>
      </w:r>
      <w:r w:rsidR="00D24CD0" w:rsidRPr="00280CE8">
        <w:rPr>
          <w:sz w:val="23"/>
          <w:szCs w:val="23"/>
        </w:rPr>
        <w:t xml:space="preserve"> court</w:t>
      </w:r>
      <w:r w:rsidR="00E02715" w:rsidRPr="00280CE8">
        <w:rPr>
          <w:sz w:val="23"/>
          <w:szCs w:val="23"/>
        </w:rPr>
        <w:t>room</w:t>
      </w:r>
      <w:r w:rsidR="005657F8" w:rsidRPr="00280CE8">
        <w:rPr>
          <w:sz w:val="23"/>
          <w:szCs w:val="23"/>
        </w:rPr>
        <w:t xml:space="preserve"> capacity is</w:t>
      </w:r>
      <w:r w:rsidR="00444131" w:rsidRPr="00280CE8">
        <w:rPr>
          <w:sz w:val="23"/>
          <w:szCs w:val="23"/>
        </w:rPr>
        <w:t xml:space="preserve"> often</w:t>
      </w:r>
      <w:r w:rsidR="00D24CD0" w:rsidRPr="00280CE8">
        <w:rPr>
          <w:sz w:val="23"/>
          <w:szCs w:val="23"/>
        </w:rPr>
        <w:t xml:space="preserve"> already </w:t>
      </w:r>
      <w:r w:rsidR="004B6DE5" w:rsidRPr="00280CE8">
        <w:rPr>
          <w:sz w:val="23"/>
          <w:szCs w:val="23"/>
        </w:rPr>
        <w:t xml:space="preserve">fully utilised </w:t>
      </w:r>
      <w:r w:rsidR="00235DAE" w:rsidRPr="00280CE8">
        <w:rPr>
          <w:sz w:val="23"/>
          <w:szCs w:val="23"/>
        </w:rPr>
        <w:t xml:space="preserve">dealing with </w:t>
      </w:r>
      <w:r w:rsidR="0027295C" w:rsidRPr="00280CE8">
        <w:rPr>
          <w:sz w:val="23"/>
          <w:szCs w:val="23"/>
        </w:rPr>
        <w:t xml:space="preserve">existing </w:t>
      </w:r>
      <w:r w:rsidR="00235DAE" w:rsidRPr="00280CE8">
        <w:rPr>
          <w:sz w:val="23"/>
          <w:szCs w:val="23"/>
        </w:rPr>
        <w:t xml:space="preserve">fixtures </w:t>
      </w:r>
      <w:r w:rsidR="00724DBF" w:rsidRPr="00280CE8">
        <w:rPr>
          <w:sz w:val="23"/>
          <w:szCs w:val="23"/>
        </w:rPr>
        <w:t>(primary</w:t>
      </w:r>
      <w:r w:rsidR="005F56B1" w:rsidRPr="00280CE8">
        <w:rPr>
          <w:sz w:val="23"/>
          <w:szCs w:val="23"/>
        </w:rPr>
        <w:t xml:space="preserve"> fixtures and floaters/backers)</w:t>
      </w:r>
      <w:r w:rsidR="00EA7457" w:rsidRPr="00280CE8">
        <w:rPr>
          <w:sz w:val="23"/>
          <w:szCs w:val="23"/>
        </w:rPr>
        <w:t>.</w:t>
      </w:r>
    </w:p>
    <w:p w14:paraId="5060FE76" w14:textId="77777777" w:rsidR="0032313D" w:rsidRPr="00280CE8" w:rsidRDefault="0032313D" w:rsidP="00B43369">
      <w:pPr>
        <w:pStyle w:val="BodyText"/>
        <w:spacing w:after="0" w:line="264" w:lineRule="auto"/>
        <w:jc w:val="both"/>
        <w:rPr>
          <w:sz w:val="23"/>
          <w:szCs w:val="23"/>
        </w:rPr>
      </w:pPr>
    </w:p>
    <w:p w14:paraId="7416E164" w14:textId="38985F65" w:rsidR="00C44A54" w:rsidRPr="00280CE8" w:rsidRDefault="00261131" w:rsidP="00B43369">
      <w:pPr>
        <w:pStyle w:val="BodyText"/>
        <w:spacing w:after="0" w:line="264" w:lineRule="auto"/>
        <w:jc w:val="both"/>
        <w:rPr>
          <w:sz w:val="23"/>
          <w:szCs w:val="23"/>
        </w:rPr>
      </w:pPr>
      <w:r w:rsidRPr="00280CE8">
        <w:rPr>
          <w:sz w:val="23"/>
          <w:szCs w:val="23"/>
        </w:rPr>
        <w:t>C</w:t>
      </w:r>
      <w:r w:rsidR="000B6A15" w:rsidRPr="00280CE8">
        <w:rPr>
          <w:sz w:val="23"/>
          <w:szCs w:val="23"/>
        </w:rPr>
        <w:t xml:space="preserve">ases in </w:t>
      </w:r>
      <w:r w:rsidRPr="00280CE8">
        <w:rPr>
          <w:sz w:val="23"/>
          <w:szCs w:val="23"/>
        </w:rPr>
        <w:t>legacy (</w:t>
      </w:r>
      <w:r w:rsidR="00444131" w:rsidRPr="00280CE8">
        <w:rPr>
          <w:sz w:val="23"/>
          <w:szCs w:val="23"/>
        </w:rPr>
        <w:t>pre-</w:t>
      </w:r>
      <w:r w:rsidR="000B6A15" w:rsidRPr="00280CE8">
        <w:rPr>
          <w:sz w:val="23"/>
          <w:szCs w:val="23"/>
        </w:rPr>
        <w:t>existing</w:t>
      </w:r>
      <w:r w:rsidRPr="00280CE8">
        <w:rPr>
          <w:sz w:val="23"/>
          <w:szCs w:val="23"/>
        </w:rPr>
        <w:t>)</w:t>
      </w:r>
      <w:r w:rsidR="000B6A15" w:rsidRPr="00280CE8">
        <w:rPr>
          <w:sz w:val="23"/>
          <w:szCs w:val="23"/>
        </w:rPr>
        <w:t xml:space="preserve"> warned lists</w:t>
      </w:r>
      <w:r w:rsidRPr="00280CE8">
        <w:rPr>
          <w:sz w:val="23"/>
          <w:szCs w:val="23"/>
        </w:rPr>
        <w:t xml:space="preserve"> </w:t>
      </w:r>
      <w:r w:rsidR="00D8403E" w:rsidRPr="00280CE8">
        <w:rPr>
          <w:sz w:val="23"/>
          <w:szCs w:val="23"/>
        </w:rPr>
        <w:t>will be called in for trial w</w:t>
      </w:r>
      <w:r w:rsidR="00EA7457" w:rsidRPr="00280CE8">
        <w:rPr>
          <w:sz w:val="23"/>
          <w:szCs w:val="23"/>
        </w:rPr>
        <w:t>here possible,</w:t>
      </w:r>
      <w:r w:rsidR="007E24F2" w:rsidRPr="00280CE8">
        <w:rPr>
          <w:sz w:val="23"/>
          <w:szCs w:val="23"/>
        </w:rPr>
        <w:t xml:space="preserve"> </w:t>
      </w:r>
      <w:r w:rsidR="00924120" w:rsidRPr="00280CE8">
        <w:rPr>
          <w:sz w:val="23"/>
          <w:szCs w:val="23"/>
        </w:rPr>
        <w:t xml:space="preserve">but if not reached or </w:t>
      </w:r>
      <w:r w:rsidR="00540D53" w:rsidRPr="00280CE8">
        <w:rPr>
          <w:sz w:val="23"/>
          <w:szCs w:val="23"/>
        </w:rPr>
        <w:t>not capable of being heard (for example due to the absence of an advocate)</w:t>
      </w:r>
      <w:r w:rsidR="00C77163" w:rsidRPr="00280CE8">
        <w:rPr>
          <w:sz w:val="23"/>
          <w:szCs w:val="23"/>
        </w:rPr>
        <w:t xml:space="preserve"> they will be assigned a</w:t>
      </w:r>
      <w:r w:rsidR="005E6082" w:rsidRPr="00280CE8">
        <w:rPr>
          <w:sz w:val="23"/>
          <w:szCs w:val="23"/>
        </w:rPr>
        <w:t xml:space="preserve"> </w:t>
      </w:r>
      <w:r w:rsidR="00C77163" w:rsidRPr="00280CE8">
        <w:rPr>
          <w:sz w:val="23"/>
          <w:szCs w:val="23"/>
        </w:rPr>
        <w:t>new fix</w:t>
      </w:r>
      <w:r w:rsidR="007E24F2" w:rsidRPr="00280CE8">
        <w:rPr>
          <w:sz w:val="23"/>
          <w:szCs w:val="23"/>
        </w:rPr>
        <w:t>ed</w:t>
      </w:r>
      <w:r w:rsidR="00C77163" w:rsidRPr="00280CE8">
        <w:rPr>
          <w:sz w:val="23"/>
          <w:szCs w:val="23"/>
        </w:rPr>
        <w:t xml:space="preserve"> date</w:t>
      </w:r>
      <w:r w:rsidR="007E24F2" w:rsidRPr="00280CE8">
        <w:rPr>
          <w:sz w:val="23"/>
          <w:szCs w:val="23"/>
        </w:rPr>
        <w:t xml:space="preserve"> for trial</w:t>
      </w:r>
      <w:r w:rsidR="00C77163" w:rsidRPr="00280CE8">
        <w:rPr>
          <w:sz w:val="23"/>
          <w:szCs w:val="23"/>
        </w:rPr>
        <w:t>.</w:t>
      </w:r>
      <w:r w:rsidR="005E6082" w:rsidRPr="00280CE8">
        <w:rPr>
          <w:rStyle w:val="FootnoteReference"/>
          <w:sz w:val="23"/>
          <w:szCs w:val="23"/>
        </w:rPr>
        <w:footnoteReference w:id="1"/>
      </w:r>
      <w:r w:rsidR="007E24F2" w:rsidRPr="00280CE8">
        <w:rPr>
          <w:sz w:val="23"/>
          <w:szCs w:val="23"/>
        </w:rPr>
        <w:t xml:space="preserve"> </w:t>
      </w:r>
      <w:r w:rsidR="00A8706B" w:rsidRPr="00280CE8">
        <w:rPr>
          <w:sz w:val="23"/>
          <w:szCs w:val="23"/>
        </w:rPr>
        <w:t xml:space="preserve"> With the assistance of the Leader of the SE Circuit and the Chair of the CBA, a </w:t>
      </w:r>
      <w:r w:rsidR="00567A2C" w:rsidRPr="00280CE8">
        <w:rPr>
          <w:sz w:val="23"/>
          <w:szCs w:val="23"/>
        </w:rPr>
        <w:t xml:space="preserve">liaison group </w:t>
      </w:r>
      <w:r w:rsidR="001D0A54" w:rsidRPr="00280CE8">
        <w:rPr>
          <w:sz w:val="23"/>
          <w:szCs w:val="23"/>
        </w:rPr>
        <w:t xml:space="preserve">has been set up, </w:t>
      </w:r>
      <w:r w:rsidR="00567A2C" w:rsidRPr="00280CE8">
        <w:rPr>
          <w:sz w:val="23"/>
          <w:szCs w:val="23"/>
        </w:rPr>
        <w:t>consisting of the Court Listings Manager</w:t>
      </w:r>
      <w:r w:rsidR="00157AB0" w:rsidRPr="00280CE8">
        <w:rPr>
          <w:sz w:val="23"/>
          <w:szCs w:val="23"/>
        </w:rPr>
        <w:t xml:space="preserve">, a </w:t>
      </w:r>
      <w:r w:rsidR="00A55B88">
        <w:rPr>
          <w:sz w:val="23"/>
          <w:szCs w:val="23"/>
        </w:rPr>
        <w:t>member</w:t>
      </w:r>
      <w:r w:rsidR="00157AB0" w:rsidRPr="00280CE8">
        <w:rPr>
          <w:sz w:val="23"/>
          <w:szCs w:val="23"/>
        </w:rPr>
        <w:t xml:space="preserve"> of the local </w:t>
      </w:r>
      <w:r w:rsidR="00B80185" w:rsidRPr="00280CE8">
        <w:rPr>
          <w:sz w:val="23"/>
          <w:szCs w:val="23"/>
        </w:rPr>
        <w:t xml:space="preserve">Bar </w:t>
      </w:r>
      <w:r w:rsidR="00157AB0" w:rsidRPr="00280CE8">
        <w:rPr>
          <w:sz w:val="23"/>
          <w:szCs w:val="23"/>
        </w:rPr>
        <w:t>mess</w:t>
      </w:r>
      <w:r w:rsidR="00567A2C" w:rsidRPr="00280CE8">
        <w:rPr>
          <w:sz w:val="23"/>
          <w:szCs w:val="23"/>
        </w:rPr>
        <w:t xml:space="preserve"> and </w:t>
      </w:r>
      <w:r w:rsidR="00A75BC5" w:rsidRPr="00280CE8">
        <w:rPr>
          <w:sz w:val="23"/>
          <w:szCs w:val="23"/>
        </w:rPr>
        <w:t>representatives</w:t>
      </w:r>
      <w:r w:rsidR="00567A2C" w:rsidRPr="00280CE8">
        <w:rPr>
          <w:sz w:val="23"/>
          <w:szCs w:val="23"/>
        </w:rPr>
        <w:t xml:space="preserve"> from</w:t>
      </w:r>
      <w:r w:rsidR="00157AB0" w:rsidRPr="00280CE8">
        <w:rPr>
          <w:sz w:val="23"/>
          <w:szCs w:val="23"/>
        </w:rPr>
        <w:t xml:space="preserve"> the main chambers </w:t>
      </w:r>
      <w:r w:rsidR="00E144D1" w:rsidRPr="00280CE8">
        <w:rPr>
          <w:sz w:val="23"/>
          <w:szCs w:val="23"/>
        </w:rPr>
        <w:t xml:space="preserve">supplying advocates to the </w:t>
      </w:r>
      <w:r w:rsidR="004122DC" w:rsidRPr="00280CE8">
        <w:rPr>
          <w:sz w:val="23"/>
          <w:szCs w:val="23"/>
        </w:rPr>
        <w:t>C</w:t>
      </w:r>
      <w:r w:rsidR="00E144D1" w:rsidRPr="00280CE8">
        <w:rPr>
          <w:sz w:val="23"/>
          <w:szCs w:val="23"/>
        </w:rPr>
        <w:t>ourt</w:t>
      </w:r>
      <w:r w:rsidR="00C358D8" w:rsidRPr="00280CE8">
        <w:rPr>
          <w:sz w:val="23"/>
          <w:szCs w:val="23"/>
        </w:rPr>
        <w:t xml:space="preserve">, as well as the main </w:t>
      </w:r>
      <w:r w:rsidR="00F976BA" w:rsidRPr="00280CE8">
        <w:rPr>
          <w:sz w:val="23"/>
          <w:szCs w:val="23"/>
        </w:rPr>
        <w:t>solicitors</w:t>
      </w:r>
      <w:r w:rsidR="00236EB1" w:rsidRPr="00280CE8">
        <w:rPr>
          <w:sz w:val="23"/>
          <w:szCs w:val="23"/>
        </w:rPr>
        <w:t xml:space="preserve"> firms</w:t>
      </w:r>
      <w:r w:rsidR="00F976BA" w:rsidRPr="00280CE8">
        <w:rPr>
          <w:sz w:val="23"/>
          <w:szCs w:val="23"/>
        </w:rPr>
        <w:t xml:space="preserve"> </w:t>
      </w:r>
      <w:r w:rsidR="00AB0FDE" w:rsidRPr="00280CE8">
        <w:rPr>
          <w:sz w:val="23"/>
          <w:szCs w:val="23"/>
        </w:rPr>
        <w:t>w</w:t>
      </w:r>
      <w:r w:rsidR="00654A65" w:rsidRPr="00280CE8">
        <w:rPr>
          <w:sz w:val="23"/>
          <w:szCs w:val="23"/>
        </w:rPr>
        <w:t>ith HCAs</w:t>
      </w:r>
      <w:r w:rsidR="001D0A54" w:rsidRPr="00280CE8">
        <w:rPr>
          <w:sz w:val="23"/>
          <w:szCs w:val="23"/>
        </w:rPr>
        <w:t xml:space="preserve">.  </w:t>
      </w:r>
      <w:r w:rsidR="00654A65" w:rsidRPr="00280CE8">
        <w:rPr>
          <w:sz w:val="23"/>
          <w:szCs w:val="23"/>
        </w:rPr>
        <w:t xml:space="preserve">It </w:t>
      </w:r>
      <w:r w:rsidR="001D0A54" w:rsidRPr="00280CE8">
        <w:rPr>
          <w:sz w:val="23"/>
          <w:szCs w:val="23"/>
        </w:rPr>
        <w:t xml:space="preserve">is intended </w:t>
      </w:r>
      <w:r w:rsidR="00654A65" w:rsidRPr="00280CE8">
        <w:rPr>
          <w:sz w:val="23"/>
          <w:szCs w:val="23"/>
        </w:rPr>
        <w:t>that the group w</w:t>
      </w:r>
      <w:r w:rsidR="00006C1B" w:rsidRPr="00280CE8">
        <w:rPr>
          <w:sz w:val="23"/>
          <w:szCs w:val="23"/>
        </w:rPr>
        <w:t>ill meet monthly to</w:t>
      </w:r>
      <w:r w:rsidR="001D0A54" w:rsidRPr="00280CE8">
        <w:rPr>
          <w:sz w:val="23"/>
          <w:szCs w:val="23"/>
        </w:rPr>
        <w:t xml:space="preserve"> </w:t>
      </w:r>
      <w:r w:rsidR="00DE703F" w:rsidRPr="00280CE8">
        <w:rPr>
          <w:sz w:val="23"/>
          <w:szCs w:val="23"/>
        </w:rPr>
        <w:t xml:space="preserve">consider </w:t>
      </w:r>
      <w:r w:rsidR="00F549A4" w:rsidRPr="00280CE8">
        <w:rPr>
          <w:sz w:val="23"/>
          <w:szCs w:val="23"/>
        </w:rPr>
        <w:t xml:space="preserve">in advance </w:t>
      </w:r>
      <w:r w:rsidR="00DE703F" w:rsidRPr="00280CE8">
        <w:rPr>
          <w:sz w:val="23"/>
          <w:szCs w:val="23"/>
        </w:rPr>
        <w:t>the warned list case</w:t>
      </w:r>
      <w:r w:rsidR="00F549A4" w:rsidRPr="00280CE8">
        <w:rPr>
          <w:sz w:val="23"/>
          <w:szCs w:val="23"/>
        </w:rPr>
        <w:t xml:space="preserve">s coming up so that there is a clearer picture of those that can be </w:t>
      </w:r>
      <w:r w:rsidR="00A54572" w:rsidRPr="00280CE8">
        <w:rPr>
          <w:sz w:val="23"/>
          <w:szCs w:val="23"/>
        </w:rPr>
        <w:t>effective.</w:t>
      </w:r>
      <w:r w:rsidR="008A2E90" w:rsidRPr="00280CE8">
        <w:rPr>
          <w:sz w:val="23"/>
          <w:szCs w:val="23"/>
        </w:rPr>
        <w:t xml:space="preserve">  </w:t>
      </w:r>
      <w:r w:rsidR="005765FC" w:rsidRPr="00280CE8">
        <w:rPr>
          <w:sz w:val="23"/>
          <w:szCs w:val="23"/>
        </w:rPr>
        <w:t xml:space="preserve">It is hoped that early identification of difficulties will lead </w:t>
      </w:r>
      <w:r w:rsidR="00C26CC6" w:rsidRPr="00280CE8">
        <w:rPr>
          <w:sz w:val="23"/>
          <w:szCs w:val="23"/>
        </w:rPr>
        <w:t>to more timely resolution in the interests of all involved</w:t>
      </w:r>
      <w:r w:rsidR="001603CC" w:rsidRPr="00280CE8">
        <w:rPr>
          <w:sz w:val="23"/>
          <w:szCs w:val="23"/>
        </w:rPr>
        <w:t xml:space="preserve">, promoting efficient use of </w:t>
      </w:r>
      <w:r w:rsidR="00B53E81" w:rsidRPr="00280CE8">
        <w:rPr>
          <w:sz w:val="23"/>
          <w:szCs w:val="23"/>
        </w:rPr>
        <w:t>Court resources.</w:t>
      </w:r>
    </w:p>
    <w:p w14:paraId="3A3EC358" w14:textId="77777777" w:rsidR="0032313D" w:rsidRPr="00280CE8" w:rsidRDefault="0032313D" w:rsidP="00B43369">
      <w:pPr>
        <w:pStyle w:val="BodyText"/>
        <w:spacing w:after="0" w:line="264" w:lineRule="auto"/>
        <w:jc w:val="both"/>
        <w:rPr>
          <w:sz w:val="23"/>
          <w:szCs w:val="23"/>
        </w:rPr>
      </w:pPr>
    </w:p>
    <w:p w14:paraId="48C44400" w14:textId="77777777" w:rsidR="00310418" w:rsidRDefault="00EC7942" w:rsidP="00B43369">
      <w:pPr>
        <w:pStyle w:val="BodyText"/>
        <w:spacing w:after="0" w:line="264" w:lineRule="auto"/>
        <w:jc w:val="both"/>
      </w:pPr>
      <w:r w:rsidRPr="00280CE8">
        <w:rPr>
          <w:sz w:val="23"/>
          <w:szCs w:val="23"/>
        </w:rPr>
        <w:t>In</w:t>
      </w:r>
      <w:r w:rsidR="000E42D2" w:rsidRPr="00280CE8">
        <w:rPr>
          <w:sz w:val="23"/>
          <w:szCs w:val="23"/>
        </w:rPr>
        <w:t xml:space="preserve"> listing a case for trial</w:t>
      </w:r>
      <w:r w:rsidR="00FF0A93" w:rsidRPr="00280CE8">
        <w:rPr>
          <w:sz w:val="23"/>
          <w:szCs w:val="23"/>
        </w:rPr>
        <w:t xml:space="preserve">, including relisting warned list cases, </w:t>
      </w:r>
      <w:r w:rsidR="007407F2" w:rsidRPr="00280CE8">
        <w:rPr>
          <w:sz w:val="23"/>
          <w:szCs w:val="23"/>
        </w:rPr>
        <w:t xml:space="preserve">the </w:t>
      </w:r>
      <w:r w:rsidR="00317CE2" w:rsidRPr="00280CE8">
        <w:rPr>
          <w:sz w:val="23"/>
          <w:szCs w:val="23"/>
        </w:rPr>
        <w:t>C</w:t>
      </w:r>
      <w:r w:rsidR="007407F2" w:rsidRPr="00280CE8">
        <w:rPr>
          <w:sz w:val="23"/>
          <w:szCs w:val="23"/>
        </w:rPr>
        <w:t xml:space="preserve">ourt </w:t>
      </w:r>
      <w:r w:rsidR="00A54572" w:rsidRPr="00280CE8">
        <w:rPr>
          <w:sz w:val="23"/>
          <w:szCs w:val="23"/>
        </w:rPr>
        <w:t xml:space="preserve">recognises the </w:t>
      </w:r>
      <w:r w:rsidR="003C3806" w:rsidRPr="00280CE8">
        <w:rPr>
          <w:sz w:val="23"/>
          <w:szCs w:val="23"/>
        </w:rPr>
        <w:t xml:space="preserve">importance of, and </w:t>
      </w:r>
      <w:r w:rsidR="007407F2" w:rsidRPr="00280CE8">
        <w:rPr>
          <w:sz w:val="23"/>
          <w:szCs w:val="23"/>
        </w:rPr>
        <w:t xml:space="preserve">will do its best to </w:t>
      </w:r>
      <w:r w:rsidR="0021085F" w:rsidRPr="00280CE8">
        <w:rPr>
          <w:sz w:val="23"/>
          <w:szCs w:val="23"/>
        </w:rPr>
        <w:t>accommodate</w:t>
      </w:r>
      <w:r w:rsidR="003C3806" w:rsidRPr="00280CE8">
        <w:rPr>
          <w:sz w:val="23"/>
          <w:szCs w:val="23"/>
        </w:rPr>
        <w:t>,</w:t>
      </w:r>
      <w:r w:rsidR="00475A4A" w:rsidRPr="00280CE8">
        <w:rPr>
          <w:sz w:val="23"/>
          <w:szCs w:val="23"/>
        </w:rPr>
        <w:t xml:space="preserve"> advocate</w:t>
      </w:r>
      <w:r w:rsidR="000F66F0" w:rsidRPr="00280CE8">
        <w:rPr>
          <w:sz w:val="23"/>
          <w:szCs w:val="23"/>
        </w:rPr>
        <w:t xml:space="preserve">s’ </w:t>
      </w:r>
      <w:r w:rsidR="003C3806" w:rsidRPr="00280CE8">
        <w:rPr>
          <w:sz w:val="23"/>
          <w:szCs w:val="23"/>
        </w:rPr>
        <w:t xml:space="preserve">projected </w:t>
      </w:r>
      <w:r w:rsidR="000F66F0" w:rsidRPr="00280CE8">
        <w:rPr>
          <w:sz w:val="23"/>
          <w:szCs w:val="23"/>
        </w:rPr>
        <w:t xml:space="preserve">availability.  However, </w:t>
      </w:r>
      <w:r w:rsidR="002D74D7" w:rsidRPr="00280CE8">
        <w:rPr>
          <w:sz w:val="23"/>
          <w:szCs w:val="23"/>
        </w:rPr>
        <w:t xml:space="preserve">such projected </w:t>
      </w:r>
      <w:r w:rsidR="004B6397" w:rsidRPr="00280CE8">
        <w:rPr>
          <w:sz w:val="23"/>
          <w:szCs w:val="23"/>
        </w:rPr>
        <w:t xml:space="preserve">availability cannot be determinative as </w:t>
      </w:r>
      <w:r w:rsidR="007E39AC" w:rsidRPr="00280CE8">
        <w:rPr>
          <w:sz w:val="23"/>
          <w:szCs w:val="23"/>
        </w:rPr>
        <w:t>it is not always possible</w:t>
      </w:r>
      <w:r w:rsidR="00D358C9" w:rsidRPr="00280CE8">
        <w:rPr>
          <w:sz w:val="23"/>
          <w:szCs w:val="23"/>
        </w:rPr>
        <w:t xml:space="preserve"> to fix a date </w:t>
      </w:r>
      <w:r w:rsidR="004B6397" w:rsidRPr="00280CE8">
        <w:rPr>
          <w:sz w:val="23"/>
          <w:szCs w:val="23"/>
        </w:rPr>
        <w:t>within a reasonable</w:t>
      </w:r>
      <w:r w:rsidR="004B6397">
        <w:t xml:space="preserve"> </w:t>
      </w:r>
      <w:r w:rsidR="00901126" w:rsidRPr="00280CE8">
        <w:rPr>
          <w:sz w:val="23"/>
          <w:szCs w:val="23"/>
        </w:rPr>
        <w:t>ti</w:t>
      </w:r>
      <w:r w:rsidR="006E2B60" w:rsidRPr="00280CE8">
        <w:rPr>
          <w:sz w:val="23"/>
          <w:szCs w:val="23"/>
        </w:rPr>
        <w:t>meframe</w:t>
      </w:r>
      <w:r w:rsidR="004B6397" w:rsidRPr="00280CE8">
        <w:rPr>
          <w:sz w:val="23"/>
          <w:szCs w:val="23"/>
        </w:rPr>
        <w:t xml:space="preserve"> </w:t>
      </w:r>
      <w:r w:rsidR="00D358C9" w:rsidRPr="00280CE8">
        <w:rPr>
          <w:sz w:val="23"/>
          <w:szCs w:val="23"/>
        </w:rPr>
        <w:t xml:space="preserve">that suits </w:t>
      </w:r>
      <w:r w:rsidR="006E2B60" w:rsidRPr="00280CE8">
        <w:rPr>
          <w:sz w:val="23"/>
          <w:szCs w:val="23"/>
        </w:rPr>
        <w:t>all</w:t>
      </w:r>
      <w:r w:rsidR="00D358C9" w:rsidRPr="00280CE8">
        <w:rPr>
          <w:sz w:val="23"/>
          <w:szCs w:val="23"/>
        </w:rPr>
        <w:t xml:space="preserve"> involved</w:t>
      </w:r>
      <w:r w:rsidR="00843B63" w:rsidRPr="00280CE8">
        <w:rPr>
          <w:sz w:val="23"/>
          <w:szCs w:val="23"/>
        </w:rPr>
        <w:t xml:space="preserve">.  In addition, the Court must ensure that its available resources are </w:t>
      </w:r>
      <w:r w:rsidR="007C1C27" w:rsidRPr="00280CE8">
        <w:rPr>
          <w:sz w:val="23"/>
          <w:szCs w:val="23"/>
        </w:rPr>
        <w:t xml:space="preserve">being utilised to the fullest, while not </w:t>
      </w:r>
      <w:r w:rsidR="00F4063F" w:rsidRPr="00280CE8">
        <w:rPr>
          <w:sz w:val="23"/>
          <w:szCs w:val="23"/>
        </w:rPr>
        <w:t>exerting unrealistic expectations on the C</w:t>
      </w:r>
      <w:r w:rsidR="00260B7D" w:rsidRPr="00280CE8">
        <w:rPr>
          <w:sz w:val="23"/>
          <w:szCs w:val="23"/>
        </w:rPr>
        <w:t>ourt diary</w:t>
      </w:r>
      <w:r w:rsidR="006C4E72" w:rsidRPr="00280CE8">
        <w:rPr>
          <w:sz w:val="23"/>
          <w:szCs w:val="23"/>
        </w:rPr>
        <w:t>.</w:t>
      </w:r>
      <w:r w:rsidR="006C4E72">
        <w:t xml:space="preserve"> </w:t>
      </w:r>
    </w:p>
    <w:p w14:paraId="7C4DBEEC" w14:textId="0100DE72" w:rsidR="001D4A5A" w:rsidRPr="00280CE8" w:rsidRDefault="00B43369" w:rsidP="004B26CE">
      <w:pPr>
        <w:pStyle w:val="BodyText"/>
        <w:spacing w:before="240" w:after="0"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</w:t>
      </w:r>
      <w:r w:rsidR="00423F53" w:rsidRPr="00280CE8">
        <w:rPr>
          <w:sz w:val="23"/>
          <w:szCs w:val="23"/>
        </w:rPr>
        <w:t>nce a judge</w:t>
      </w:r>
      <w:r w:rsidR="001D4C10">
        <w:rPr>
          <w:sz w:val="23"/>
          <w:szCs w:val="23"/>
        </w:rPr>
        <w:t xml:space="preserve"> </w:t>
      </w:r>
      <w:r w:rsidR="00423F53" w:rsidRPr="00280CE8">
        <w:rPr>
          <w:sz w:val="23"/>
          <w:szCs w:val="23"/>
        </w:rPr>
        <w:t>has fixed a date</w:t>
      </w:r>
      <w:r w:rsidR="00830DD5" w:rsidRPr="00280CE8">
        <w:rPr>
          <w:sz w:val="23"/>
          <w:szCs w:val="23"/>
        </w:rPr>
        <w:t xml:space="preserve"> (or approved a date agreed </w:t>
      </w:r>
      <w:r w:rsidR="00B27A52" w:rsidRPr="00280CE8">
        <w:rPr>
          <w:sz w:val="23"/>
          <w:szCs w:val="23"/>
        </w:rPr>
        <w:t xml:space="preserve">by advocates </w:t>
      </w:r>
      <w:r w:rsidR="00830DD5" w:rsidRPr="00280CE8">
        <w:rPr>
          <w:sz w:val="23"/>
          <w:szCs w:val="23"/>
        </w:rPr>
        <w:t xml:space="preserve">with the </w:t>
      </w:r>
      <w:r w:rsidR="00F03491" w:rsidRPr="00280CE8">
        <w:rPr>
          <w:sz w:val="23"/>
          <w:szCs w:val="23"/>
        </w:rPr>
        <w:t>L</w:t>
      </w:r>
      <w:r w:rsidR="00830DD5" w:rsidRPr="00280CE8">
        <w:rPr>
          <w:sz w:val="23"/>
          <w:szCs w:val="23"/>
        </w:rPr>
        <w:t xml:space="preserve">ist </w:t>
      </w:r>
      <w:r w:rsidR="00F03491" w:rsidRPr="00280CE8">
        <w:rPr>
          <w:sz w:val="23"/>
          <w:szCs w:val="23"/>
        </w:rPr>
        <w:t>O</w:t>
      </w:r>
      <w:r w:rsidR="00830DD5" w:rsidRPr="00280CE8">
        <w:rPr>
          <w:sz w:val="23"/>
          <w:szCs w:val="23"/>
        </w:rPr>
        <w:t>ffice)</w:t>
      </w:r>
      <w:r w:rsidR="00423F53" w:rsidRPr="00280CE8">
        <w:rPr>
          <w:sz w:val="23"/>
          <w:szCs w:val="23"/>
        </w:rPr>
        <w:t xml:space="preserve">, it is the responsibility of </w:t>
      </w:r>
      <w:r w:rsidR="00B67CC4" w:rsidRPr="00280CE8">
        <w:rPr>
          <w:sz w:val="23"/>
          <w:szCs w:val="23"/>
        </w:rPr>
        <w:t>any advocate</w:t>
      </w:r>
      <w:r w:rsidR="000E2F69" w:rsidRPr="00280CE8">
        <w:rPr>
          <w:sz w:val="23"/>
          <w:szCs w:val="23"/>
        </w:rPr>
        <w:t>,</w:t>
      </w:r>
      <w:r w:rsidR="00B67CC4" w:rsidRPr="00280CE8">
        <w:rPr>
          <w:sz w:val="23"/>
          <w:szCs w:val="23"/>
        </w:rPr>
        <w:t xml:space="preserve"> </w:t>
      </w:r>
      <w:r w:rsidR="000E2F69" w:rsidRPr="00280CE8">
        <w:rPr>
          <w:sz w:val="23"/>
          <w:szCs w:val="23"/>
        </w:rPr>
        <w:t>who will not be available for such date, to liaise with their instructing solicitors</w:t>
      </w:r>
      <w:r w:rsidR="0050108F" w:rsidRPr="00280CE8">
        <w:rPr>
          <w:sz w:val="23"/>
          <w:szCs w:val="23"/>
        </w:rPr>
        <w:t>/the CPS/their firm to ensure that suitable alternative representation is secured</w:t>
      </w:r>
      <w:r w:rsidR="009F30C0" w:rsidRPr="00280CE8">
        <w:rPr>
          <w:sz w:val="23"/>
          <w:szCs w:val="23"/>
        </w:rPr>
        <w:t xml:space="preserve"> in good time</w:t>
      </w:r>
      <w:r w:rsidR="0050108F" w:rsidRPr="00280CE8">
        <w:rPr>
          <w:sz w:val="23"/>
          <w:szCs w:val="23"/>
        </w:rPr>
        <w:t>.  How and when that is done is a matter for professional judgment</w:t>
      </w:r>
      <w:r w:rsidR="00567B76" w:rsidRPr="00280CE8">
        <w:rPr>
          <w:sz w:val="23"/>
          <w:szCs w:val="23"/>
        </w:rPr>
        <w:t xml:space="preserve">, but </w:t>
      </w:r>
      <w:r w:rsidR="00A334C4" w:rsidRPr="00280CE8">
        <w:rPr>
          <w:sz w:val="23"/>
          <w:szCs w:val="23"/>
        </w:rPr>
        <w:t xml:space="preserve">it is unlikely that </w:t>
      </w:r>
      <w:r w:rsidR="00B40FC5" w:rsidRPr="00280CE8">
        <w:rPr>
          <w:sz w:val="23"/>
          <w:szCs w:val="23"/>
        </w:rPr>
        <w:t xml:space="preserve">a late application to break fixture </w:t>
      </w:r>
      <w:r w:rsidR="00BE2F91" w:rsidRPr="00280CE8">
        <w:rPr>
          <w:sz w:val="23"/>
          <w:szCs w:val="23"/>
        </w:rPr>
        <w:t xml:space="preserve">(based on the unavailability of an advocate) </w:t>
      </w:r>
      <w:r w:rsidR="00B40FC5" w:rsidRPr="00280CE8">
        <w:rPr>
          <w:sz w:val="23"/>
          <w:szCs w:val="23"/>
        </w:rPr>
        <w:t>will find favour</w:t>
      </w:r>
      <w:r w:rsidR="00276948" w:rsidRPr="00280CE8">
        <w:rPr>
          <w:sz w:val="23"/>
          <w:szCs w:val="23"/>
        </w:rPr>
        <w:t xml:space="preserve"> with the </w:t>
      </w:r>
      <w:r w:rsidR="00317CE2" w:rsidRPr="00280CE8">
        <w:rPr>
          <w:sz w:val="23"/>
          <w:szCs w:val="23"/>
        </w:rPr>
        <w:t>C</w:t>
      </w:r>
      <w:r w:rsidR="00276948" w:rsidRPr="00280CE8">
        <w:rPr>
          <w:sz w:val="23"/>
          <w:szCs w:val="23"/>
        </w:rPr>
        <w:t>ourt, save in exceptional circumstances.</w:t>
      </w:r>
    </w:p>
    <w:p w14:paraId="4A572978" w14:textId="77777777" w:rsidR="0032313D" w:rsidRDefault="0032313D" w:rsidP="00B43369">
      <w:pPr>
        <w:pStyle w:val="BodyText"/>
        <w:spacing w:after="0" w:line="264" w:lineRule="auto"/>
        <w:jc w:val="both"/>
      </w:pPr>
    </w:p>
    <w:p w14:paraId="7ADFE4B0" w14:textId="59E52055" w:rsidR="00251235" w:rsidRPr="004931DD" w:rsidRDefault="00C60A0D" w:rsidP="00B43369">
      <w:pPr>
        <w:pStyle w:val="BodyText"/>
        <w:spacing w:after="0" w:line="264" w:lineRule="auto"/>
        <w:rPr>
          <w:b/>
          <w:bCs/>
          <w:i/>
          <w:iCs/>
        </w:rPr>
      </w:pPr>
      <w:r w:rsidRPr="004931DD">
        <w:rPr>
          <w:b/>
          <w:bCs/>
          <w:i/>
          <w:iCs/>
        </w:rPr>
        <w:t xml:space="preserve">Appearance </w:t>
      </w:r>
      <w:r w:rsidR="00A81E76" w:rsidRPr="004931DD">
        <w:rPr>
          <w:b/>
          <w:bCs/>
          <w:i/>
          <w:iCs/>
        </w:rPr>
        <w:t xml:space="preserve">of advocates </w:t>
      </w:r>
      <w:r w:rsidR="004931DD">
        <w:rPr>
          <w:b/>
          <w:bCs/>
          <w:i/>
          <w:iCs/>
        </w:rPr>
        <w:t>by</w:t>
      </w:r>
      <w:r w:rsidRPr="004931DD">
        <w:rPr>
          <w:b/>
          <w:bCs/>
          <w:i/>
          <w:iCs/>
        </w:rPr>
        <w:t xml:space="preserve"> CVP</w:t>
      </w:r>
      <w:r w:rsidR="00745D1A">
        <w:rPr>
          <w:b/>
          <w:bCs/>
          <w:i/>
          <w:iCs/>
        </w:rPr>
        <w:t xml:space="preserve"> (subject to </w:t>
      </w:r>
      <w:r w:rsidR="00E2768C">
        <w:rPr>
          <w:b/>
          <w:bCs/>
          <w:i/>
          <w:iCs/>
        </w:rPr>
        <w:t>it functioning properly)</w:t>
      </w:r>
    </w:p>
    <w:p w14:paraId="220AE1C5" w14:textId="7FC9B7DA" w:rsidR="005E745E" w:rsidRPr="00280CE8" w:rsidRDefault="002F774C" w:rsidP="00B43369">
      <w:pPr>
        <w:pStyle w:val="BodyText"/>
        <w:spacing w:after="0" w:line="264" w:lineRule="auto"/>
        <w:jc w:val="both"/>
        <w:rPr>
          <w:sz w:val="23"/>
          <w:szCs w:val="23"/>
        </w:rPr>
      </w:pPr>
      <w:r w:rsidRPr="00280CE8">
        <w:rPr>
          <w:sz w:val="23"/>
          <w:szCs w:val="23"/>
        </w:rPr>
        <w:t xml:space="preserve">Remote attendance </w:t>
      </w:r>
      <w:r w:rsidR="00E82D56" w:rsidRPr="00280CE8">
        <w:rPr>
          <w:sz w:val="23"/>
          <w:szCs w:val="23"/>
        </w:rPr>
        <w:t xml:space="preserve">of advocates </w:t>
      </w:r>
      <w:r w:rsidR="00C30A6E" w:rsidRPr="00280CE8">
        <w:rPr>
          <w:sz w:val="23"/>
          <w:szCs w:val="23"/>
        </w:rPr>
        <w:t xml:space="preserve">brings with it both advantages and disadvantages.  </w:t>
      </w:r>
      <w:r w:rsidR="005F5313" w:rsidRPr="00280CE8">
        <w:rPr>
          <w:sz w:val="23"/>
          <w:szCs w:val="23"/>
        </w:rPr>
        <w:t>While it is preferable for a</w:t>
      </w:r>
      <w:r w:rsidR="00FE16F5" w:rsidRPr="00280CE8">
        <w:rPr>
          <w:sz w:val="23"/>
          <w:szCs w:val="23"/>
        </w:rPr>
        <w:t xml:space="preserve">dvocates to attend court in person whenever possible, the Court recognises </w:t>
      </w:r>
      <w:r w:rsidR="00CC3B92" w:rsidRPr="00280CE8">
        <w:rPr>
          <w:sz w:val="23"/>
          <w:szCs w:val="23"/>
        </w:rPr>
        <w:t>that an insistence on this in every case</w:t>
      </w:r>
      <w:r w:rsidR="007F1E36" w:rsidRPr="00280CE8">
        <w:rPr>
          <w:sz w:val="23"/>
          <w:szCs w:val="23"/>
        </w:rPr>
        <w:t xml:space="preserve"> </w:t>
      </w:r>
      <w:r w:rsidR="00C93AD3" w:rsidRPr="00280CE8">
        <w:rPr>
          <w:sz w:val="23"/>
          <w:szCs w:val="23"/>
        </w:rPr>
        <w:t xml:space="preserve">at Luton </w:t>
      </w:r>
      <w:r w:rsidR="00037A0D" w:rsidRPr="00280CE8">
        <w:rPr>
          <w:sz w:val="23"/>
          <w:szCs w:val="23"/>
        </w:rPr>
        <w:t>could</w:t>
      </w:r>
      <w:r w:rsidR="007F1E36" w:rsidRPr="00280CE8">
        <w:rPr>
          <w:sz w:val="23"/>
          <w:szCs w:val="23"/>
        </w:rPr>
        <w:t xml:space="preserve"> be </w:t>
      </w:r>
      <w:proofErr w:type="gramStart"/>
      <w:r w:rsidR="007F1E36" w:rsidRPr="00280CE8">
        <w:rPr>
          <w:sz w:val="23"/>
          <w:szCs w:val="23"/>
        </w:rPr>
        <w:t>counter-productive</w:t>
      </w:r>
      <w:proofErr w:type="gramEnd"/>
      <w:r w:rsidR="007F1E36" w:rsidRPr="00280CE8">
        <w:rPr>
          <w:sz w:val="23"/>
          <w:szCs w:val="23"/>
        </w:rPr>
        <w:t xml:space="preserve">.  </w:t>
      </w:r>
      <w:r w:rsidR="00227BCA" w:rsidRPr="00280CE8">
        <w:rPr>
          <w:sz w:val="23"/>
          <w:szCs w:val="23"/>
        </w:rPr>
        <w:t>The Court has adopted a more flexible approach</w:t>
      </w:r>
      <w:r w:rsidR="00216417" w:rsidRPr="00280CE8">
        <w:rPr>
          <w:sz w:val="23"/>
          <w:szCs w:val="23"/>
        </w:rPr>
        <w:t xml:space="preserve"> </w:t>
      </w:r>
      <w:r w:rsidR="0070061E" w:rsidRPr="00280CE8">
        <w:rPr>
          <w:sz w:val="23"/>
          <w:szCs w:val="23"/>
        </w:rPr>
        <w:t xml:space="preserve">with the aim of maximising </w:t>
      </w:r>
      <w:r w:rsidR="00C0103E" w:rsidRPr="00280CE8">
        <w:rPr>
          <w:sz w:val="23"/>
          <w:szCs w:val="23"/>
        </w:rPr>
        <w:t xml:space="preserve">the effectiveness of hearings.  </w:t>
      </w:r>
      <w:r w:rsidR="00CD7250" w:rsidRPr="00280CE8">
        <w:rPr>
          <w:sz w:val="23"/>
          <w:szCs w:val="23"/>
        </w:rPr>
        <w:t>In doing so, t</w:t>
      </w:r>
      <w:r w:rsidR="00ED3175" w:rsidRPr="00280CE8">
        <w:rPr>
          <w:sz w:val="23"/>
          <w:szCs w:val="23"/>
        </w:rPr>
        <w:t xml:space="preserve">he Court </w:t>
      </w:r>
      <w:r w:rsidR="0005296F" w:rsidRPr="00280CE8">
        <w:rPr>
          <w:sz w:val="23"/>
          <w:szCs w:val="23"/>
        </w:rPr>
        <w:t xml:space="preserve">expects advocates to </w:t>
      </w:r>
      <w:r w:rsidR="005B5CE5" w:rsidRPr="00280CE8">
        <w:rPr>
          <w:sz w:val="23"/>
          <w:szCs w:val="23"/>
        </w:rPr>
        <w:t xml:space="preserve">reciprocate by </w:t>
      </w:r>
      <w:r w:rsidR="0005296F" w:rsidRPr="00280CE8">
        <w:rPr>
          <w:sz w:val="23"/>
          <w:szCs w:val="23"/>
        </w:rPr>
        <w:t>be</w:t>
      </w:r>
      <w:r w:rsidR="005B5CE5" w:rsidRPr="00280CE8">
        <w:rPr>
          <w:sz w:val="23"/>
          <w:szCs w:val="23"/>
        </w:rPr>
        <w:t>ing</w:t>
      </w:r>
      <w:r w:rsidR="0005296F" w:rsidRPr="00280CE8">
        <w:rPr>
          <w:sz w:val="23"/>
          <w:szCs w:val="23"/>
        </w:rPr>
        <w:t xml:space="preserve"> </w:t>
      </w:r>
      <w:r w:rsidR="00C5671E" w:rsidRPr="00280CE8">
        <w:rPr>
          <w:sz w:val="23"/>
          <w:szCs w:val="23"/>
        </w:rPr>
        <w:t xml:space="preserve">realistic about </w:t>
      </w:r>
      <w:r w:rsidR="00547655" w:rsidRPr="00280CE8">
        <w:rPr>
          <w:sz w:val="23"/>
          <w:szCs w:val="23"/>
        </w:rPr>
        <w:t xml:space="preserve">the number and timing of their </w:t>
      </w:r>
      <w:r w:rsidR="000C77A8" w:rsidRPr="00280CE8">
        <w:rPr>
          <w:sz w:val="23"/>
          <w:szCs w:val="23"/>
        </w:rPr>
        <w:t xml:space="preserve">professional engagements on any given day so that </w:t>
      </w:r>
      <w:r w:rsidR="00114286" w:rsidRPr="00280CE8">
        <w:rPr>
          <w:sz w:val="23"/>
          <w:szCs w:val="23"/>
        </w:rPr>
        <w:t xml:space="preserve">a courtroom is not </w:t>
      </w:r>
      <w:r w:rsidR="00DA1CAF" w:rsidRPr="00280CE8">
        <w:rPr>
          <w:sz w:val="23"/>
          <w:szCs w:val="23"/>
        </w:rPr>
        <w:t>left sitting</w:t>
      </w:r>
      <w:r w:rsidR="00B46CBB" w:rsidRPr="00280CE8">
        <w:rPr>
          <w:sz w:val="23"/>
          <w:szCs w:val="23"/>
        </w:rPr>
        <w:t>,</w:t>
      </w:r>
      <w:r w:rsidR="00DA1CAF" w:rsidRPr="00280CE8">
        <w:rPr>
          <w:sz w:val="23"/>
          <w:szCs w:val="23"/>
        </w:rPr>
        <w:t xml:space="preserve"> waiting for them to join/attend.</w:t>
      </w:r>
      <w:r w:rsidR="00037A0D" w:rsidRPr="00280CE8">
        <w:rPr>
          <w:sz w:val="23"/>
          <w:szCs w:val="23"/>
        </w:rPr>
        <w:t xml:space="preserve">  </w:t>
      </w:r>
      <w:r w:rsidR="0011134C" w:rsidRPr="00280CE8">
        <w:rPr>
          <w:sz w:val="23"/>
          <w:szCs w:val="23"/>
        </w:rPr>
        <w:t xml:space="preserve">There is a distinction to be made </w:t>
      </w:r>
      <w:r w:rsidR="00092B5F" w:rsidRPr="00280CE8">
        <w:rPr>
          <w:sz w:val="23"/>
          <w:szCs w:val="23"/>
        </w:rPr>
        <w:t>between the type of hearing and whether the defendant(s) is/are attending in person</w:t>
      </w:r>
      <w:r w:rsidR="003A5CAE" w:rsidRPr="00280CE8">
        <w:rPr>
          <w:sz w:val="23"/>
          <w:szCs w:val="23"/>
        </w:rPr>
        <w:t xml:space="preserve"> (whether produced </w:t>
      </w:r>
      <w:r w:rsidR="00BA3629" w:rsidRPr="00280CE8">
        <w:rPr>
          <w:sz w:val="23"/>
          <w:szCs w:val="23"/>
        </w:rPr>
        <w:t>in</w:t>
      </w:r>
      <w:r w:rsidR="003A5CAE" w:rsidRPr="00280CE8">
        <w:rPr>
          <w:sz w:val="23"/>
          <w:szCs w:val="23"/>
        </w:rPr>
        <w:t xml:space="preserve"> custody or on bail)</w:t>
      </w:r>
      <w:r w:rsidR="00092B5F" w:rsidRPr="00280CE8">
        <w:rPr>
          <w:sz w:val="23"/>
          <w:szCs w:val="23"/>
        </w:rPr>
        <w:t>.</w:t>
      </w:r>
      <w:r w:rsidR="00F55A99" w:rsidRPr="00280CE8">
        <w:rPr>
          <w:sz w:val="23"/>
          <w:szCs w:val="23"/>
        </w:rPr>
        <w:t xml:space="preserve">  </w:t>
      </w:r>
      <w:r w:rsidR="00550446" w:rsidRPr="00280CE8">
        <w:rPr>
          <w:sz w:val="23"/>
          <w:szCs w:val="23"/>
        </w:rPr>
        <w:t xml:space="preserve">Where a judge has directed </w:t>
      </w:r>
      <w:r w:rsidR="005C1B77" w:rsidRPr="00280CE8">
        <w:rPr>
          <w:sz w:val="23"/>
          <w:szCs w:val="23"/>
        </w:rPr>
        <w:t xml:space="preserve">attendance in a particular mode, then that </w:t>
      </w:r>
      <w:r w:rsidR="000404A7" w:rsidRPr="00280CE8">
        <w:rPr>
          <w:sz w:val="23"/>
          <w:szCs w:val="23"/>
        </w:rPr>
        <w:t xml:space="preserve">direction </w:t>
      </w:r>
      <w:r w:rsidR="005C1B77" w:rsidRPr="00280CE8">
        <w:rPr>
          <w:sz w:val="23"/>
          <w:szCs w:val="23"/>
        </w:rPr>
        <w:t xml:space="preserve">applies unless </w:t>
      </w:r>
      <w:r w:rsidR="00676A3E" w:rsidRPr="00280CE8">
        <w:rPr>
          <w:sz w:val="23"/>
          <w:szCs w:val="23"/>
        </w:rPr>
        <w:t xml:space="preserve">there is </w:t>
      </w:r>
      <w:r w:rsidR="00FF33F9" w:rsidRPr="00280CE8">
        <w:rPr>
          <w:sz w:val="23"/>
          <w:szCs w:val="23"/>
        </w:rPr>
        <w:t xml:space="preserve">very </w:t>
      </w:r>
      <w:r w:rsidR="00676A3E" w:rsidRPr="00280CE8">
        <w:rPr>
          <w:sz w:val="23"/>
          <w:szCs w:val="23"/>
        </w:rPr>
        <w:t xml:space="preserve">good reason to </w:t>
      </w:r>
      <w:r w:rsidR="00FF33F9" w:rsidRPr="00280CE8">
        <w:rPr>
          <w:sz w:val="23"/>
          <w:szCs w:val="23"/>
        </w:rPr>
        <w:t xml:space="preserve">request a different mode.  Any request must </w:t>
      </w:r>
      <w:r w:rsidR="002C40D7" w:rsidRPr="00280CE8">
        <w:rPr>
          <w:sz w:val="23"/>
          <w:szCs w:val="23"/>
        </w:rPr>
        <w:t xml:space="preserve">provide sufficient detail of the </w:t>
      </w:r>
      <w:r w:rsidR="00357E2C" w:rsidRPr="00280CE8">
        <w:rPr>
          <w:sz w:val="23"/>
          <w:szCs w:val="23"/>
        </w:rPr>
        <w:t xml:space="preserve">very </w:t>
      </w:r>
      <w:r w:rsidR="002C40D7" w:rsidRPr="00280CE8">
        <w:rPr>
          <w:sz w:val="23"/>
          <w:szCs w:val="23"/>
        </w:rPr>
        <w:t>good reason and should be forwarded to the Lis</w:t>
      </w:r>
      <w:r w:rsidR="009A2353" w:rsidRPr="00280CE8">
        <w:rPr>
          <w:sz w:val="23"/>
          <w:szCs w:val="23"/>
        </w:rPr>
        <w:t>t Office, which will pass it on to the relevant judge or, in their absence, the</w:t>
      </w:r>
      <w:r w:rsidR="000161C6">
        <w:rPr>
          <w:sz w:val="23"/>
          <w:szCs w:val="23"/>
        </w:rPr>
        <w:t xml:space="preserve"> R</w:t>
      </w:r>
      <w:r w:rsidR="009A2353" w:rsidRPr="00280CE8">
        <w:rPr>
          <w:sz w:val="23"/>
          <w:szCs w:val="23"/>
        </w:rPr>
        <w:t xml:space="preserve">esident </w:t>
      </w:r>
      <w:r w:rsidR="000161C6">
        <w:rPr>
          <w:sz w:val="23"/>
          <w:szCs w:val="23"/>
        </w:rPr>
        <w:t>J</w:t>
      </w:r>
      <w:r w:rsidR="009A2353" w:rsidRPr="00280CE8">
        <w:rPr>
          <w:sz w:val="23"/>
          <w:szCs w:val="23"/>
        </w:rPr>
        <w:t>udge.</w:t>
      </w:r>
      <w:r w:rsidR="002A152D" w:rsidRPr="00280CE8">
        <w:rPr>
          <w:sz w:val="23"/>
          <w:szCs w:val="23"/>
        </w:rPr>
        <w:t xml:space="preserve">  Where no </w:t>
      </w:r>
      <w:r w:rsidR="00217F89" w:rsidRPr="00280CE8">
        <w:rPr>
          <w:sz w:val="23"/>
          <w:szCs w:val="23"/>
        </w:rPr>
        <w:t xml:space="preserve">specific </w:t>
      </w:r>
      <w:r w:rsidR="002A152D" w:rsidRPr="00280CE8">
        <w:rPr>
          <w:sz w:val="23"/>
          <w:szCs w:val="23"/>
        </w:rPr>
        <w:t xml:space="preserve">direction </w:t>
      </w:r>
      <w:r w:rsidR="00217F89" w:rsidRPr="00280CE8">
        <w:rPr>
          <w:sz w:val="23"/>
          <w:szCs w:val="23"/>
        </w:rPr>
        <w:t xml:space="preserve">has been given, advocates can </w:t>
      </w:r>
      <w:r w:rsidR="00A81E76" w:rsidRPr="00280CE8">
        <w:rPr>
          <w:sz w:val="23"/>
          <w:szCs w:val="23"/>
        </w:rPr>
        <w:t xml:space="preserve">generally </w:t>
      </w:r>
      <w:r w:rsidR="00217F89" w:rsidRPr="00280CE8">
        <w:rPr>
          <w:sz w:val="23"/>
          <w:szCs w:val="23"/>
        </w:rPr>
        <w:t xml:space="preserve">expect </w:t>
      </w:r>
      <w:r w:rsidR="00284422" w:rsidRPr="00280CE8">
        <w:rPr>
          <w:sz w:val="23"/>
          <w:szCs w:val="23"/>
        </w:rPr>
        <w:t>t</w:t>
      </w:r>
      <w:r w:rsidR="00F55A99" w:rsidRPr="00280CE8">
        <w:rPr>
          <w:sz w:val="23"/>
          <w:szCs w:val="23"/>
        </w:rPr>
        <w:t xml:space="preserve">he </w:t>
      </w:r>
      <w:r w:rsidR="00284422" w:rsidRPr="00280CE8">
        <w:rPr>
          <w:sz w:val="23"/>
          <w:szCs w:val="23"/>
        </w:rPr>
        <w:t xml:space="preserve">following approach by </w:t>
      </w:r>
      <w:r w:rsidR="00F55A99" w:rsidRPr="00280CE8">
        <w:rPr>
          <w:sz w:val="23"/>
          <w:szCs w:val="23"/>
        </w:rPr>
        <w:t>the Court:</w:t>
      </w:r>
    </w:p>
    <w:p w14:paraId="568952AB" w14:textId="77777777" w:rsidR="0032313D" w:rsidRDefault="0032313D" w:rsidP="005F6B71">
      <w:pPr>
        <w:pStyle w:val="BodyText"/>
        <w:spacing w:after="0" w:line="288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4048"/>
      </w:tblGrid>
      <w:tr w:rsidR="006767D3" w:rsidRPr="00D5124A" w14:paraId="7CA89E28" w14:textId="77777777" w:rsidTr="00B261C9">
        <w:trPr>
          <w:tblHeader/>
        </w:trPr>
        <w:tc>
          <w:tcPr>
            <w:tcW w:w="2689" w:type="dxa"/>
          </w:tcPr>
          <w:p w14:paraId="687CB99E" w14:textId="2CD9BDAA" w:rsidR="006767D3" w:rsidRPr="00D5124A" w:rsidRDefault="007F0C08" w:rsidP="00593447">
            <w:pPr>
              <w:pStyle w:val="BodyText"/>
              <w:spacing w:after="0" w:line="264" w:lineRule="auto"/>
              <w:rPr>
                <w:b/>
                <w:bCs/>
                <w:i/>
                <w:iCs/>
              </w:rPr>
            </w:pPr>
            <w:r w:rsidRPr="00D5124A">
              <w:rPr>
                <w:b/>
                <w:bCs/>
                <w:i/>
                <w:iCs/>
              </w:rPr>
              <w:t>Type of hearing</w:t>
            </w:r>
          </w:p>
        </w:tc>
        <w:tc>
          <w:tcPr>
            <w:tcW w:w="3685" w:type="dxa"/>
          </w:tcPr>
          <w:p w14:paraId="13E9DF9B" w14:textId="284607E8" w:rsidR="006767D3" w:rsidRPr="00D5124A" w:rsidRDefault="007F0C08" w:rsidP="00593447">
            <w:pPr>
              <w:pStyle w:val="BodyText"/>
              <w:spacing w:after="0" w:line="264" w:lineRule="auto"/>
              <w:rPr>
                <w:b/>
                <w:bCs/>
                <w:i/>
                <w:iCs/>
              </w:rPr>
            </w:pPr>
            <w:r w:rsidRPr="00D5124A">
              <w:rPr>
                <w:b/>
                <w:bCs/>
                <w:i/>
                <w:iCs/>
              </w:rPr>
              <w:t>Prosecution</w:t>
            </w:r>
          </w:p>
        </w:tc>
        <w:tc>
          <w:tcPr>
            <w:tcW w:w="4048" w:type="dxa"/>
          </w:tcPr>
          <w:p w14:paraId="0E3404CB" w14:textId="14F0F9B3" w:rsidR="006767D3" w:rsidRPr="00D5124A" w:rsidRDefault="007F0C08" w:rsidP="00593447">
            <w:pPr>
              <w:pStyle w:val="BodyText"/>
              <w:spacing w:after="0" w:line="264" w:lineRule="auto"/>
              <w:rPr>
                <w:b/>
                <w:bCs/>
                <w:i/>
                <w:iCs/>
              </w:rPr>
            </w:pPr>
            <w:r w:rsidRPr="00D5124A">
              <w:rPr>
                <w:b/>
                <w:bCs/>
                <w:i/>
                <w:iCs/>
              </w:rPr>
              <w:t>Defence</w:t>
            </w:r>
          </w:p>
        </w:tc>
      </w:tr>
      <w:tr w:rsidR="006767D3" w14:paraId="5C8E22FA" w14:textId="77777777" w:rsidTr="006A42F7">
        <w:tc>
          <w:tcPr>
            <w:tcW w:w="2689" w:type="dxa"/>
          </w:tcPr>
          <w:p w14:paraId="6BC8707F" w14:textId="2A7CF195" w:rsidR="006767D3" w:rsidRPr="00D74C42" w:rsidRDefault="007F0C08" w:rsidP="00593447">
            <w:pPr>
              <w:pStyle w:val="BodyText"/>
              <w:spacing w:after="0" w:line="264" w:lineRule="auto"/>
              <w:rPr>
                <w:b/>
                <w:bCs/>
                <w:sz w:val="23"/>
                <w:szCs w:val="23"/>
              </w:rPr>
            </w:pPr>
            <w:r w:rsidRPr="00D74C42">
              <w:rPr>
                <w:b/>
                <w:bCs/>
                <w:sz w:val="23"/>
                <w:szCs w:val="23"/>
              </w:rPr>
              <w:t>PTPH</w:t>
            </w:r>
          </w:p>
        </w:tc>
        <w:tc>
          <w:tcPr>
            <w:tcW w:w="3685" w:type="dxa"/>
          </w:tcPr>
          <w:p w14:paraId="5FDA8B75" w14:textId="52B4E1A3" w:rsidR="006767D3" w:rsidRPr="00625D59" w:rsidRDefault="0012265A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</w:rPr>
              <w:t xml:space="preserve">May </w:t>
            </w:r>
            <w:r w:rsidR="00A94C92" w:rsidRPr="00625D59">
              <w:rPr>
                <w:sz w:val="22"/>
              </w:rPr>
              <w:t>attend</w:t>
            </w:r>
            <w:r w:rsidRPr="00625D59">
              <w:rPr>
                <w:sz w:val="22"/>
              </w:rPr>
              <w:t xml:space="preserve"> by CVP, unless attendance of victim</w:t>
            </w:r>
            <w:r w:rsidR="00C12219" w:rsidRPr="00625D59">
              <w:rPr>
                <w:sz w:val="22"/>
              </w:rPr>
              <w:t>/family etc is likely</w:t>
            </w:r>
            <w:r w:rsidR="003F3535" w:rsidRPr="00625D59">
              <w:rPr>
                <w:sz w:val="22"/>
              </w:rPr>
              <w:t xml:space="preserve"> OR the case is complex</w:t>
            </w:r>
            <w:r w:rsidR="00817684" w:rsidRPr="00625D59">
              <w:rPr>
                <w:sz w:val="22"/>
              </w:rPr>
              <w:t xml:space="preserve"> (either </w:t>
            </w:r>
            <w:proofErr w:type="gramStart"/>
            <w:r w:rsidR="00817684" w:rsidRPr="00625D59">
              <w:rPr>
                <w:sz w:val="22"/>
              </w:rPr>
              <w:t>in itself or</w:t>
            </w:r>
            <w:proofErr w:type="gramEnd"/>
            <w:r w:rsidR="00817684" w:rsidRPr="00625D59">
              <w:rPr>
                <w:sz w:val="22"/>
              </w:rPr>
              <w:t xml:space="preserve"> due to the number of defendants</w:t>
            </w:r>
            <w:r w:rsidR="009A555C" w:rsidRPr="00625D59">
              <w:rPr>
                <w:sz w:val="22"/>
              </w:rPr>
              <w:t>)</w:t>
            </w:r>
            <w:r w:rsidR="00D15BFF" w:rsidRPr="00625D59">
              <w:rPr>
                <w:sz w:val="22"/>
              </w:rPr>
              <w:t xml:space="preserve"> in which case</w:t>
            </w:r>
            <w:r w:rsidR="00320DE0" w:rsidRPr="00625D59">
              <w:rPr>
                <w:sz w:val="22"/>
              </w:rPr>
              <w:t xml:space="preserve"> advocate </w:t>
            </w:r>
            <w:r w:rsidR="0045177D" w:rsidRPr="00625D59">
              <w:rPr>
                <w:sz w:val="22"/>
              </w:rPr>
              <w:t>must</w:t>
            </w:r>
            <w:r w:rsidR="00320DE0" w:rsidRPr="00625D59">
              <w:rPr>
                <w:sz w:val="22"/>
              </w:rPr>
              <w:t xml:space="preserve"> attend</w:t>
            </w:r>
            <w:r w:rsidR="00FE1F0C" w:rsidRPr="00625D59">
              <w:rPr>
                <w:sz w:val="22"/>
              </w:rPr>
              <w:t xml:space="preserve"> in person</w:t>
            </w:r>
            <w:r w:rsidR="00401B90" w:rsidRPr="00625D59">
              <w:rPr>
                <w:sz w:val="22"/>
              </w:rPr>
              <w:t>.</w:t>
            </w:r>
          </w:p>
          <w:p w14:paraId="32D7340C" w14:textId="77777777" w:rsidR="003915AB" w:rsidRPr="00625D59" w:rsidRDefault="003915AB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  <w:p w14:paraId="03909DAB" w14:textId="160AE7E3" w:rsidR="00401B90" w:rsidRPr="00625D59" w:rsidRDefault="00401B90" w:rsidP="00593447">
            <w:pPr>
              <w:pStyle w:val="BodyText"/>
              <w:spacing w:after="0" w:line="264" w:lineRule="auto"/>
              <w:jc w:val="both"/>
              <w:rPr>
                <w:i/>
                <w:iCs/>
                <w:sz w:val="22"/>
              </w:rPr>
            </w:pPr>
            <w:r w:rsidRPr="00625D59">
              <w:rPr>
                <w:i/>
                <w:iCs/>
                <w:sz w:val="22"/>
              </w:rPr>
              <w:t xml:space="preserve">Any attendance by CVP is predicated on liaison in advance between prosecution and defence </w:t>
            </w:r>
            <w:r w:rsidR="000E17DA" w:rsidRPr="00625D59">
              <w:rPr>
                <w:i/>
                <w:iCs/>
                <w:sz w:val="22"/>
              </w:rPr>
              <w:t>to ensure that the hearing is effective, whatever the plea that is entered.</w:t>
            </w:r>
          </w:p>
        </w:tc>
        <w:tc>
          <w:tcPr>
            <w:tcW w:w="4048" w:type="dxa"/>
          </w:tcPr>
          <w:p w14:paraId="22C3025D" w14:textId="2DB391AC" w:rsidR="006767D3" w:rsidRPr="00625D59" w:rsidRDefault="00320DE0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  <w:u w:val="single"/>
              </w:rPr>
              <w:t>Def</w:t>
            </w:r>
            <w:r w:rsidR="00DD69B6" w:rsidRPr="00625D59">
              <w:rPr>
                <w:sz w:val="22"/>
                <w:u w:val="single"/>
              </w:rPr>
              <w:t>endant</w:t>
            </w:r>
            <w:r w:rsidRPr="00625D59">
              <w:rPr>
                <w:sz w:val="22"/>
                <w:u w:val="single"/>
              </w:rPr>
              <w:t xml:space="preserve"> </w:t>
            </w:r>
            <w:r w:rsidR="003302D5" w:rsidRPr="00625D59">
              <w:rPr>
                <w:sz w:val="22"/>
                <w:u w:val="single"/>
              </w:rPr>
              <w:t xml:space="preserve">in custody, </w:t>
            </w:r>
            <w:r w:rsidR="00FA1F12" w:rsidRPr="00625D59">
              <w:rPr>
                <w:sz w:val="22"/>
                <w:u w:val="single"/>
              </w:rPr>
              <w:t>appearing remotely</w:t>
            </w:r>
            <w:r w:rsidR="003302D5" w:rsidRPr="00625D59">
              <w:rPr>
                <w:sz w:val="22"/>
              </w:rPr>
              <w:t xml:space="preserve"> – Advocate may </w:t>
            </w:r>
            <w:r w:rsidR="00A94F2B" w:rsidRPr="00625D59">
              <w:rPr>
                <w:sz w:val="22"/>
              </w:rPr>
              <w:t>attend</w:t>
            </w:r>
            <w:r w:rsidR="003302D5" w:rsidRPr="00625D59">
              <w:rPr>
                <w:sz w:val="22"/>
              </w:rPr>
              <w:t xml:space="preserve"> by CVP</w:t>
            </w:r>
            <w:r w:rsidR="0029068E" w:rsidRPr="00625D59">
              <w:rPr>
                <w:sz w:val="22"/>
              </w:rPr>
              <w:t>.</w:t>
            </w:r>
          </w:p>
          <w:p w14:paraId="7E4C8E6D" w14:textId="77777777" w:rsidR="00A0126F" w:rsidRPr="00625D59" w:rsidRDefault="00A0126F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  <w:p w14:paraId="75246DDB" w14:textId="523E2B33" w:rsidR="00D7611A" w:rsidRPr="00625D59" w:rsidRDefault="00D7611A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  <w:u w:val="single"/>
              </w:rPr>
              <w:t>Def</w:t>
            </w:r>
            <w:r w:rsidR="00DD69B6" w:rsidRPr="00625D59">
              <w:rPr>
                <w:sz w:val="22"/>
                <w:u w:val="single"/>
              </w:rPr>
              <w:t>endant</w:t>
            </w:r>
            <w:r w:rsidRPr="00625D59">
              <w:rPr>
                <w:sz w:val="22"/>
                <w:u w:val="single"/>
              </w:rPr>
              <w:t xml:space="preserve"> in custody, being produced</w:t>
            </w:r>
            <w:r w:rsidRPr="00625D59">
              <w:rPr>
                <w:sz w:val="22"/>
              </w:rPr>
              <w:t xml:space="preserve"> – Advocate should attend in person, </w:t>
            </w:r>
            <w:r w:rsidR="002D16E0" w:rsidRPr="00625D59">
              <w:rPr>
                <w:sz w:val="22"/>
              </w:rPr>
              <w:t>sav</w:t>
            </w:r>
            <w:r w:rsidR="005013CF" w:rsidRPr="00625D59">
              <w:rPr>
                <w:sz w:val="22"/>
              </w:rPr>
              <w:t>e</w:t>
            </w:r>
            <w:r w:rsidR="002D16E0" w:rsidRPr="00625D59">
              <w:rPr>
                <w:sz w:val="22"/>
              </w:rPr>
              <w:t xml:space="preserve"> in exceptional circumstances and on the basis that </w:t>
            </w:r>
            <w:r w:rsidR="005013CF" w:rsidRPr="00625D59">
              <w:rPr>
                <w:sz w:val="22"/>
              </w:rPr>
              <w:t>the advocate is fully instructed and the PTPH can proceed effectively</w:t>
            </w:r>
            <w:r w:rsidR="001B72FC" w:rsidRPr="00625D59">
              <w:rPr>
                <w:sz w:val="22"/>
              </w:rPr>
              <w:t xml:space="preserve"> with the </w:t>
            </w:r>
            <w:r w:rsidR="002511A9" w:rsidRPr="00625D59">
              <w:rPr>
                <w:sz w:val="22"/>
              </w:rPr>
              <w:t>advocate attending by CVP</w:t>
            </w:r>
            <w:r w:rsidR="005013CF" w:rsidRPr="00625D59">
              <w:rPr>
                <w:sz w:val="22"/>
              </w:rPr>
              <w:t>.</w:t>
            </w:r>
          </w:p>
          <w:p w14:paraId="70F582B2" w14:textId="77777777" w:rsidR="00A0126F" w:rsidRPr="00625D59" w:rsidRDefault="00A0126F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  <w:p w14:paraId="4A45BFBF" w14:textId="77777777" w:rsidR="005013CF" w:rsidRPr="00625D59" w:rsidRDefault="005013CF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  <w:u w:val="single"/>
              </w:rPr>
              <w:t>Def</w:t>
            </w:r>
            <w:r w:rsidR="00382A6E" w:rsidRPr="00625D59">
              <w:rPr>
                <w:sz w:val="22"/>
                <w:u w:val="single"/>
              </w:rPr>
              <w:t>endant</w:t>
            </w:r>
            <w:r w:rsidRPr="00625D59">
              <w:rPr>
                <w:sz w:val="22"/>
                <w:u w:val="single"/>
              </w:rPr>
              <w:t xml:space="preserve"> on bail</w:t>
            </w:r>
            <w:r w:rsidRPr="00625D59">
              <w:rPr>
                <w:sz w:val="22"/>
              </w:rPr>
              <w:t xml:space="preserve"> - Advocate should attend in person, save in exceptional circumstances and on the basis that the advocate is fully instructed and the PTPH can proceed effectively.</w:t>
            </w:r>
          </w:p>
          <w:p w14:paraId="5DFD6164" w14:textId="5E7E3621" w:rsidR="002F4AC4" w:rsidRPr="00625D59" w:rsidRDefault="002F4AC4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</w:tc>
      </w:tr>
      <w:tr w:rsidR="006767D3" w14:paraId="5379C4BC" w14:textId="77777777" w:rsidTr="006A42F7">
        <w:tc>
          <w:tcPr>
            <w:tcW w:w="2689" w:type="dxa"/>
          </w:tcPr>
          <w:p w14:paraId="53E0AF01" w14:textId="2A989838" w:rsidR="006767D3" w:rsidRPr="00D74C42" w:rsidRDefault="00D363CB" w:rsidP="00593447">
            <w:pPr>
              <w:pStyle w:val="BodyText"/>
              <w:spacing w:after="0" w:line="264" w:lineRule="auto"/>
              <w:rPr>
                <w:b/>
                <w:bCs/>
                <w:sz w:val="23"/>
                <w:szCs w:val="23"/>
              </w:rPr>
            </w:pPr>
            <w:r w:rsidRPr="00D74C42">
              <w:rPr>
                <w:b/>
                <w:bCs/>
                <w:sz w:val="23"/>
                <w:szCs w:val="23"/>
              </w:rPr>
              <w:t>Sentence</w:t>
            </w:r>
          </w:p>
        </w:tc>
        <w:tc>
          <w:tcPr>
            <w:tcW w:w="3685" w:type="dxa"/>
          </w:tcPr>
          <w:p w14:paraId="6DA69F90" w14:textId="6495368E" w:rsidR="000457CE" w:rsidRPr="00625D59" w:rsidRDefault="002A64B0" w:rsidP="003E6B3F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</w:rPr>
              <w:t xml:space="preserve">May </w:t>
            </w:r>
            <w:r w:rsidR="008B4E21" w:rsidRPr="00625D59">
              <w:rPr>
                <w:sz w:val="22"/>
              </w:rPr>
              <w:t>attend</w:t>
            </w:r>
            <w:r w:rsidRPr="00625D59">
              <w:rPr>
                <w:sz w:val="22"/>
              </w:rPr>
              <w:t xml:space="preserve"> by CVP, unless attendance of victim/family etc is likely </w:t>
            </w:r>
            <w:r w:rsidR="009125D7" w:rsidRPr="00625D59">
              <w:rPr>
                <w:sz w:val="22"/>
              </w:rPr>
              <w:t xml:space="preserve">OR in cases of </w:t>
            </w:r>
            <w:r w:rsidR="0036309F" w:rsidRPr="00625D59">
              <w:rPr>
                <w:sz w:val="22"/>
              </w:rPr>
              <w:t>seriousness</w:t>
            </w:r>
            <w:r w:rsidR="00E405B0" w:rsidRPr="00625D59">
              <w:rPr>
                <w:sz w:val="22"/>
              </w:rPr>
              <w:t xml:space="preserve"> and/or </w:t>
            </w:r>
            <w:r w:rsidR="0036309F" w:rsidRPr="00625D59">
              <w:rPr>
                <w:sz w:val="22"/>
              </w:rPr>
              <w:t xml:space="preserve">complexity </w:t>
            </w:r>
            <w:r w:rsidR="00E22F57" w:rsidRPr="00625D59">
              <w:rPr>
                <w:sz w:val="22"/>
              </w:rPr>
              <w:t xml:space="preserve">(either </w:t>
            </w:r>
            <w:proofErr w:type="gramStart"/>
            <w:r w:rsidR="00E22F57" w:rsidRPr="00625D59">
              <w:rPr>
                <w:sz w:val="22"/>
              </w:rPr>
              <w:t>in itself or</w:t>
            </w:r>
            <w:proofErr w:type="gramEnd"/>
            <w:r w:rsidR="00E22F57" w:rsidRPr="00625D59">
              <w:rPr>
                <w:sz w:val="22"/>
              </w:rPr>
              <w:t xml:space="preserve"> due to the number of defendants)</w:t>
            </w:r>
            <w:r w:rsidR="000457CE" w:rsidRPr="00625D59">
              <w:rPr>
                <w:sz w:val="22"/>
              </w:rPr>
              <w:t xml:space="preserve"> </w:t>
            </w:r>
            <w:r w:rsidR="00E405B0" w:rsidRPr="00625D59">
              <w:rPr>
                <w:sz w:val="22"/>
              </w:rPr>
              <w:t>when the</w:t>
            </w:r>
            <w:r w:rsidRPr="00625D59">
              <w:rPr>
                <w:sz w:val="22"/>
              </w:rPr>
              <w:t xml:space="preserve"> advocate </w:t>
            </w:r>
            <w:r w:rsidR="0045177D" w:rsidRPr="00625D59">
              <w:rPr>
                <w:sz w:val="22"/>
              </w:rPr>
              <w:t>must</w:t>
            </w:r>
            <w:r w:rsidRPr="00625D59">
              <w:rPr>
                <w:sz w:val="22"/>
              </w:rPr>
              <w:t xml:space="preserve"> attend</w:t>
            </w:r>
            <w:r w:rsidR="00C60C00" w:rsidRPr="00625D59">
              <w:rPr>
                <w:sz w:val="22"/>
              </w:rPr>
              <w:t xml:space="preserve"> in person</w:t>
            </w:r>
            <w:r w:rsidR="009125D7" w:rsidRPr="00625D59">
              <w:rPr>
                <w:sz w:val="22"/>
              </w:rPr>
              <w:t>.</w:t>
            </w:r>
          </w:p>
        </w:tc>
        <w:tc>
          <w:tcPr>
            <w:tcW w:w="4048" w:type="dxa"/>
          </w:tcPr>
          <w:p w14:paraId="11E2B384" w14:textId="033C3D8B" w:rsidR="00EA5D80" w:rsidRPr="00625D59" w:rsidRDefault="00EA5D80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i/>
                <w:iCs/>
                <w:sz w:val="22"/>
              </w:rPr>
              <w:t>Def</w:t>
            </w:r>
            <w:r w:rsidR="008B4E21" w:rsidRPr="00625D59">
              <w:rPr>
                <w:i/>
                <w:iCs/>
                <w:sz w:val="22"/>
              </w:rPr>
              <w:t>endant</w:t>
            </w:r>
            <w:r w:rsidRPr="00625D59">
              <w:rPr>
                <w:i/>
                <w:iCs/>
                <w:sz w:val="22"/>
              </w:rPr>
              <w:t xml:space="preserve"> in custody, </w:t>
            </w:r>
            <w:r w:rsidR="0075624B" w:rsidRPr="00625D59">
              <w:rPr>
                <w:i/>
                <w:iCs/>
                <w:sz w:val="22"/>
              </w:rPr>
              <w:t>appearing remotely</w:t>
            </w:r>
            <w:r w:rsidRPr="00625D59">
              <w:rPr>
                <w:sz w:val="22"/>
              </w:rPr>
              <w:t xml:space="preserve"> – Advocate may </w:t>
            </w:r>
            <w:r w:rsidR="008B4E21" w:rsidRPr="00625D59">
              <w:rPr>
                <w:sz w:val="22"/>
              </w:rPr>
              <w:t>attend</w:t>
            </w:r>
            <w:r w:rsidRPr="00625D59">
              <w:rPr>
                <w:sz w:val="22"/>
              </w:rPr>
              <w:t xml:space="preserve"> by </w:t>
            </w:r>
            <w:proofErr w:type="gramStart"/>
            <w:r w:rsidRPr="00625D59">
              <w:rPr>
                <w:sz w:val="22"/>
              </w:rPr>
              <w:t>CVP</w:t>
            </w:r>
            <w:proofErr w:type="gramEnd"/>
          </w:p>
          <w:p w14:paraId="410D843A" w14:textId="70084E46" w:rsidR="00EA5D80" w:rsidRPr="00625D59" w:rsidRDefault="00EA5D80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i/>
                <w:iCs/>
                <w:sz w:val="22"/>
              </w:rPr>
              <w:t>Def</w:t>
            </w:r>
            <w:r w:rsidR="00396BA0" w:rsidRPr="00625D59">
              <w:rPr>
                <w:i/>
                <w:iCs/>
                <w:sz w:val="22"/>
              </w:rPr>
              <w:t>endant</w:t>
            </w:r>
            <w:r w:rsidRPr="00625D59">
              <w:rPr>
                <w:i/>
                <w:iCs/>
                <w:sz w:val="22"/>
              </w:rPr>
              <w:t xml:space="preserve"> in custody, being produced</w:t>
            </w:r>
            <w:r w:rsidRPr="00625D59">
              <w:rPr>
                <w:sz w:val="22"/>
              </w:rPr>
              <w:t xml:space="preserve"> – Advocate must attend in person.</w:t>
            </w:r>
          </w:p>
          <w:p w14:paraId="2C444E3A" w14:textId="60A70E64" w:rsidR="006767D3" w:rsidRPr="00625D59" w:rsidRDefault="00EA5D80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i/>
                <w:iCs/>
                <w:sz w:val="22"/>
              </w:rPr>
              <w:t>Def</w:t>
            </w:r>
            <w:r w:rsidR="000B36BA" w:rsidRPr="00625D59">
              <w:rPr>
                <w:i/>
                <w:iCs/>
                <w:sz w:val="22"/>
              </w:rPr>
              <w:t>endant</w:t>
            </w:r>
            <w:r w:rsidRPr="00625D59">
              <w:rPr>
                <w:i/>
                <w:iCs/>
                <w:sz w:val="22"/>
              </w:rPr>
              <w:t xml:space="preserve"> on bail</w:t>
            </w:r>
            <w:r w:rsidRPr="00625D59">
              <w:rPr>
                <w:sz w:val="22"/>
              </w:rPr>
              <w:t xml:space="preserve"> - Advocate </w:t>
            </w:r>
            <w:r w:rsidR="00F90A07" w:rsidRPr="00625D59">
              <w:rPr>
                <w:sz w:val="22"/>
              </w:rPr>
              <w:t>must</w:t>
            </w:r>
            <w:r w:rsidRPr="00625D59">
              <w:rPr>
                <w:sz w:val="22"/>
              </w:rPr>
              <w:t xml:space="preserve"> attend in person.</w:t>
            </w:r>
          </w:p>
        </w:tc>
      </w:tr>
      <w:tr w:rsidR="006767D3" w14:paraId="7DB664A4" w14:textId="77777777" w:rsidTr="006A42F7">
        <w:tc>
          <w:tcPr>
            <w:tcW w:w="2689" w:type="dxa"/>
          </w:tcPr>
          <w:p w14:paraId="017D4CF2" w14:textId="476736E3" w:rsidR="006767D3" w:rsidRPr="00D74C42" w:rsidRDefault="00177650" w:rsidP="00593447">
            <w:pPr>
              <w:pStyle w:val="BodyText"/>
              <w:spacing w:after="0" w:line="264" w:lineRule="auto"/>
              <w:rPr>
                <w:sz w:val="23"/>
                <w:szCs w:val="23"/>
              </w:rPr>
            </w:pPr>
            <w:r w:rsidRPr="00D74C42">
              <w:rPr>
                <w:sz w:val="23"/>
                <w:szCs w:val="23"/>
              </w:rPr>
              <w:t>A</w:t>
            </w:r>
            <w:r w:rsidR="0028057D" w:rsidRPr="00D74C42">
              <w:rPr>
                <w:sz w:val="23"/>
                <w:szCs w:val="23"/>
              </w:rPr>
              <w:t>ny hearing at which ev</w:t>
            </w:r>
            <w:r w:rsidR="00E82229" w:rsidRPr="00D74C42">
              <w:rPr>
                <w:sz w:val="23"/>
                <w:szCs w:val="23"/>
              </w:rPr>
              <w:t xml:space="preserve">idence is to be given </w:t>
            </w:r>
          </w:p>
        </w:tc>
        <w:tc>
          <w:tcPr>
            <w:tcW w:w="3685" w:type="dxa"/>
          </w:tcPr>
          <w:p w14:paraId="3EFDA1ED" w14:textId="3FB8925E" w:rsidR="006767D3" w:rsidRPr="00625D59" w:rsidRDefault="008B56FE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  <w:r w:rsidR="008A72E2" w:rsidRPr="00625D59">
              <w:rPr>
                <w:sz w:val="22"/>
              </w:rPr>
              <w:t>ust attend in person</w:t>
            </w:r>
            <w:r w:rsidR="00A17D84" w:rsidRPr="00625D59">
              <w:rPr>
                <w:sz w:val="22"/>
              </w:rPr>
              <w:t>.</w:t>
            </w:r>
          </w:p>
        </w:tc>
        <w:tc>
          <w:tcPr>
            <w:tcW w:w="4048" w:type="dxa"/>
          </w:tcPr>
          <w:p w14:paraId="2339DBEA" w14:textId="3758B8AA" w:rsidR="006767D3" w:rsidRPr="00625D59" w:rsidRDefault="008A72E2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</w:rPr>
              <w:t>Must attend in person</w:t>
            </w:r>
            <w:r w:rsidR="00A17D84" w:rsidRPr="00625D59">
              <w:rPr>
                <w:sz w:val="22"/>
              </w:rPr>
              <w:t>.</w:t>
            </w:r>
          </w:p>
        </w:tc>
      </w:tr>
      <w:tr w:rsidR="00377754" w14:paraId="64B27B87" w14:textId="77777777" w:rsidTr="006A42F7">
        <w:tc>
          <w:tcPr>
            <w:tcW w:w="2689" w:type="dxa"/>
          </w:tcPr>
          <w:p w14:paraId="7ECEFC4F" w14:textId="20BA4ED0" w:rsidR="00377754" w:rsidRPr="00D74C42" w:rsidRDefault="00226870" w:rsidP="00593447">
            <w:pPr>
              <w:pStyle w:val="BodyText"/>
              <w:spacing w:after="0" w:line="264" w:lineRule="auto"/>
              <w:rPr>
                <w:sz w:val="23"/>
                <w:szCs w:val="23"/>
              </w:rPr>
            </w:pPr>
            <w:r w:rsidRPr="00D74C42">
              <w:rPr>
                <w:b/>
                <w:bCs/>
                <w:sz w:val="23"/>
                <w:szCs w:val="23"/>
              </w:rPr>
              <w:lastRenderedPageBreak/>
              <w:t>Pre-trial reviews</w:t>
            </w:r>
            <w:r w:rsidR="00B11917" w:rsidRPr="00D74C42">
              <w:rPr>
                <w:sz w:val="23"/>
                <w:szCs w:val="23"/>
              </w:rPr>
              <w:t xml:space="preserve"> (Defendants will almost always be required to atten</w:t>
            </w:r>
            <w:r w:rsidR="002F5F12" w:rsidRPr="00D74C42">
              <w:rPr>
                <w:sz w:val="23"/>
                <w:szCs w:val="23"/>
              </w:rPr>
              <w:t>d)</w:t>
            </w:r>
          </w:p>
        </w:tc>
        <w:tc>
          <w:tcPr>
            <w:tcW w:w="3685" w:type="dxa"/>
          </w:tcPr>
          <w:p w14:paraId="427511BF" w14:textId="60E369D3" w:rsidR="0077529F" w:rsidRPr="00625D59" w:rsidRDefault="0077529F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</w:rPr>
              <w:t xml:space="preserve">May attend by CVP, unless attendance of victim/family etc is likely </w:t>
            </w:r>
            <w:r w:rsidR="00CB4DDE" w:rsidRPr="00625D59">
              <w:rPr>
                <w:sz w:val="22"/>
              </w:rPr>
              <w:t xml:space="preserve">OR in cases of seriousness and/or complexity (either </w:t>
            </w:r>
            <w:proofErr w:type="gramStart"/>
            <w:r w:rsidR="00CB4DDE" w:rsidRPr="00625D59">
              <w:rPr>
                <w:sz w:val="22"/>
              </w:rPr>
              <w:t>in itself or</w:t>
            </w:r>
            <w:proofErr w:type="gramEnd"/>
            <w:r w:rsidR="00CB4DDE" w:rsidRPr="00625D59">
              <w:rPr>
                <w:sz w:val="22"/>
              </w:rPr>
              <w:t xml:space="preserve"> due to the number of defendants) </w:t>
            </w:r>
            <w:r w:rsidRPr="00625D59">
              <w:rPr>
                <w:sz w:val="22"/>
              </w:rPr>
              <w:t>in which case advocate must attend in person</w:t>
            </w:r>
            <w:r w:rsidR="00292693" w:rsidRPr="00625D59">
              <w:rPr>
                <w:sz w:val="22"/>
              </w:rPr>
              <w:t>, unless exceptionally trial counsel can only attend by CVP</w:t>
            </w:r>
            <w:r w:rsidRPr="00625D59">
              <w:rPr>
                <w:sz w:val="22"/>
              </w:rPr>
              <w:t>.</w:t>
            </w:r>
          </w:p>
          <w:p w14:paraId="61D66032" w14:textId="77777777" w:rsidR="00CB4DDE" w:rsidRPr="00625D59" w:rsidRDefault="00CB4DDE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  <w:p w14:paraId="06913A4F" w14:textId="77777777" w:rsidR="00377754" w:rsidRPr="00625D59" w:rsidRDefault="0077529F" w:rsidP="00593447">
            <w:pPr>
              <w:pStyle w:val="BodyText"/>
              <w:spacing w:after="0" w:line="264" w:lineRule="auto"/>
              <w:jc w:val="both"/>
              <w:rPr>
                <w:i/>
                <w:iCs/>
                <w:sz w:val="22"/>
              </w:rPr>
            </w:pPr>
            <w:r w:rsidRPr="00625D59">
              <w:rPr>
                <w:i/>
                <w:iCs/>
                <w:sz w:val="22"/>
              </w:rPr>
              <w:t>Any attendance by CVP is predicated on liaison in advance between prosecution and defence to ensure that the hearing is effective</w:t>
            </w:r>
            <w:r w:rsidR="00B9435D" w:rsidRPr="00625D59">
              <w:rPr>
                <w:i/>
                <w:iCs/>
                <w:sz w:val="22"/>
              </w:rPr>
              <w:t>.</w:t>
            </w:r>
          </w:p>
          <w:p w14:paraId="65B258EF" w14:textId="15EF6958" w:rsidR="00C30590" w:rsidRPr="00625D59" w:rsidRDefault="00C30590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</w:tc>
        <w:tc>
          <w:tcPr>
            <w:tcW w:w="4048" w:type="dxa"/>
          </w:tcPr>
          <w:p w14:paraId="3880DD10" w14:textId="687026E9" w:rsidR="0075624B" w:rsidRPr="00625D59" w:rsidRDefault="0075624B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  <w:u w:val="single"/>
              </w:rPr>
              <w:t>Defendant in custody, appearing remotely</w:t>
            </w:r>
            <w:r w:rsidRPr="00625D59">
              <w:rPr>
                <w:sz w:val="22"/>
              </w:rPr>
              <w:t xml:space="preserve"> – Advocate may attend by CVP</w:t>
            </w:r>
            <w:r w:rsidR="004A3EA4" w:rsidRPr="00625D59">
              <w:rPr>
                <w:sz w:val="22"/>
              </w:rPr>
              <w:t>.</w:t>
            </w:r>
          </w:p>
          <w:p w14:paraId="6BE02DFB" w14:textId="77777777" w:rsidR="00276E15" w:rsidRPr="00625D59" w:rsidRDefault="00276E15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  <w:p w14:paraId="42AD92C4" w14:textId="436B292F" w:rsidR="0075624B" w:rsidRPr="00625D59" w:rsidRDefault="0075624B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  <w:u w:val="single"/>
              </w:rPr>
              <w:t>Defendant in custody, being produced</w:t>
            </w:r>
            <w:r w:rsidRPr="00625D59">
              <w:rPr>
                <w:sz w:val="22"/>
              </w:rPr>
              <w:t xml:space="preserve"> – Advocate must attend in person</w:t>
            </w:r>
            <w:r w:rsidR="00F31450" w:rsidRPr="00625D59">
              <w:rPr>
                <w:sz w:val="22"/>
              </w:rPr>
              <w:t xml:space="preserve">, </w:t>
            </w:r>
            <w:r w:rsidR="00AB2079" w:rsidRPr="00625D59">
              <w:rPr>
                <w:sz w:val="22"/>
              </w:rPr>
              <w:t>unless</w:t>
            </w:r>
            <w:r w:rsidR="00417C13" w:rsidRPr="00625D59">
              <w:rPr>
                <w:sz w:val="22"/>
              </w:rPr>
              <w:t>,</w:t>
            </w:r>
            <w:r w:rsidR="00AB2079" w:rsidRPr="00625D59">
              <w:rPr>
                <w:sz w:val="22"/>
              </w:rPr>
              <w:t xml:space="preserve"> exceptionally</w:t>
            </w:r>
            <w:r w:rsidR="00417C13" w:rsidRPr="00625D59">
              <w:rPr>
                <w:sz w:val="22"/>
              </w:rPr>
              <w:t>,</w:t>
            </w:r>
            <w:r w:rsidR="00F31450" w:rsidRPr="00625D59">
              <w:rPr>
                <w:sz w:val="22"/>
              </w:rPr>
              <w:t xml:space="preserve"> </w:t>
            </w:r>
            <w:r w:rsidR="00292693" w:rsidRPr="00625D59">
              <w:rPr>
                <w:sz w:val="22"/>
              </w:rPr>
              <w:t>trial counsel can only attend by CVP</w:t>
            </w:r>
            <w:r w:rsidRPr="00625D59">
              <w:rPr>
                <w:sz w:val="22"/>
              </w:rPr>
              <w:t>.</w:t>
            </w:r>
          </w:p>
          <w:p w14:paraId="4343312A" w14:textId="77777777" w:rsidR="00276E15" w:rsidRPr="00625D59" w:rsidRDefault="00276E15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  <w:p w14:paraId="060ABAF2" w14:textId="39F1F1C1" w:rsidR="00377754" w:rsidRPr="00625D59" w:rsidRDefault="0075624B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  <w:u w:val="single"/>
              </w:rPr>
              <w:t>Def</w:t>
            </w:r>
            <w:r w:rsidR="000B36BA" w:rsidRPr="00625D59">
              <w:rPr>
                <w:sz w:val="22"/>
                <w:u w:val="single"/>
              </w:rPr>
              <w:t>endant</w:t>
            </w:r>
            <w:r w:rsidRPr="00625D59">
              <w:rPr>
                <w:sz w:val="22"/>
                <w:u w:val="single"/>
              </w:rPr>
              <w:t xml:space="preserve"> on bail</w:t>
            </w:r>
            <w:r w:rsidRPr="00625D59">
              <w:rPr>
                <w:sz w:val="22"/>
              </w:rPr>
              <w:t xml:space="preserve"> - Advocate must attend in person</w:t>
            </w:r>
            <w:r w:rsidR="00417C13" w:rsidRPr="00625D59">
              <w:rPr>
                <w:sz w:val="22"/>
              </w:rPr>
              <w:t>, unless, exceptionally, trial counsel can only attend by CVP.</w:t>
            </w:r>
          </w:p>
        </w:tc>
      </w:tr>
      <w:tr w:rsidR="001616F4" w14:paraId="476C6C53" w14:textId="77777777" w:rsidTr="006A42F7">
        <w:tc>
          <w:tcPr>
            <w:tcW w:w="2689" w:type="dxa"/>
          </w:tcPr>
          <w:p w14:paraId="593FD01A" w14:textId="70A33EAF" w:rsidR="001616F4" w:rsidRPr="00D74C42" w:rsidRDefault="001616F4" w:rsidP="00593447">
            <w:pPr>
              <w:pStyle w:val="BodyText"/>
              <w:spacing w:after="0" w:line="264" w:lineRule="auto"/>
              <w:rPr>
                <w:sz w:val="23"/>
                <w:szCs w:val="23"/>
              </w:rPr>
            </w:pPr>
            <w:r w:rsidRPr="00D74C42">
              <w:rPr>
                <w:sz w:val="23"/>
                <w:szCs w:val="23"/>
              </w:rPr>
              <w:t>All other hearings</w:t>
            </w:r>
            <w:r w:rsidR="00417C13" w:rsidRPr="00D74C42">
              <w:rPr>
                <w:sz w:val="23"/>
                <w:szCs w:val="23"/>
              </w:rPr>
              <w:t xml:space="preserve"> where a </w:t>
            </w:r>
            <w:r w:rsidR="00B25FB4" w:rsidRPr="00D74C42">
              <w:rPr>
                <w:sz w:val="23"/>
                <w:szCs w:val="23"/>
              </w:rPr>
              <w:t xml:space="preserve">defendant </w:t>
            </w:r>
            <w:r w:rsidR="00B25FB4" w:rsidRPr="00D74C42">
              <w:rPr>
                <w:b/>
                <w:bCs/>
                <w:sz w:val="23"/>
                <w:szCs w:val="23"/>
                <w:u w:val="single"/>
              </w:rPr>
              <w:t>is</w:t>
            </w:r>
            <w:r w:rsidR="00B25FB4" w:rsidRPr="00D74C42">
              <w:rPr>
                <w:sz w:val="23"/>
                <w:szCs w:val="23"/>
              </w:rPr>
              <w:t xml:space="preserve"> attending</w:t>
            </w:r>
          </w:p>
        </w:tc>
        <w:tc>
          <w:tcPr>
            <w:tcW w:w="3685" w:type="dxa"/>
          </w:tcPr>
          <w:p w14:paraId="40462170" w14:textId="77777777" w:rsidR="001616F4" w:rsidRPr="00625D59" w:rsidRDefault="001616F4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</w:rPr>
              <w:t xml:space="preserve">May attend by CVP, unless attendance of victim/family etc is likely </w:t>
            </w:r>
            <w:r w:rsidR="00F74EAF" w:rsidRPr="00625D59">
              <w:rPr>
                <w:sz w:val="22"/>
              </w:rPr>
              <w:t xml:space="preserve">OR in cases of seriousness and/or complexity (either </w:t>
            </w:r>
            <w:proofErr w:type="gramStart"/>
            <w:r w:rsidR="00F74EAF" w:rsidRPr="00625D59">
              <w:rPr>
                <w:sz w:val="22"/>
              </w:rPr>
              <w:t>in itself or</w:t>
            </w:r>
            <w:proofErr w:type="gramEnd"/>
            <w:r w:rsidR="00F74EAF" w:rsidRPr="00625D59">
              <w:rPr>
                <w:sz w:val="22"/>
              </w:rPr>
              <w:t xml:space="preserve"> due to the number of defendants) </w:t>
            </w:r>
            <w:r w:rsidRPr="00625D59">
              <w:rPr>
                <w:sz w:val="22"/>
              </w:rPr>
              <w:t>in which case advocate must attend in person.</w:t>
            </w:r>
          </w:p>
          <w:p w14:paraId="3829E689" w14:textId="77777777" w:rsidR="00EA56AF" w:rsidRPr="00625D59" w:rsidRDefault="00EA56AF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  <w:p w14:paraId="7F57270C" w14:textId="77777777" w:rsidR="00EA56AF" w:rsidRPr="00625D59" w:rsidRDefault="00EA56AF" w:rsidP="00593447">
            <w:pPr>
              <w:pStyle w:val="BodyText"/>
              <w:spacing w:after="0" w:line="264" w:lineRule="auto"/>
              <w:jc w:val="both"/>
              <w:rPr>
                <w:i/>
                <w:iCs/>
                <w:sz w:val="22"/>
              </w:rPr>
            </w:pPr>
            <w:r w:rsidRPr="00625D59">
              <w:rPr>
                <w:i/>
                <w:iCs/>
                <w:sz w:val="22"/>
              </w:rPr>
              <w:t>Any attendance by CVP is predicated on liaison in advance between prosecution and defence to ensure that the hearing is effective</w:t>
            </w:r>
            <w:r w:rsidR="002417BF" w:rsidRPr="00625D59">
              <w:rPr>
                <w:i/>
                <w:iCs/>
                <w:sz w:val="22"/>
              </w:rPr>
              <w:t>.</w:t>
            </w:r>
          </w:p>
          <w:p w14:paraId="001F5E46" w14:textId="2F519D75" w:rsidR="002417BF" w:rsidRPr="00625D59" w:rsidRDefault="002417BF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</w:tc>
        <w:tc>
          <w:tcPr>
            <w:tcW w:w="4048" w:type="dxa"/>
          </w:tcPr>
          <w:p w14:paraId="398A8EC9" w14:textId="77777777" w:rsidR="001B7F72" w:rsidRPr="00625D59" w:rsidRDefault="001B7F72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  <w:u w:val="single"/>
              </w:rPr>
              <w:t>Defendant in custody, appearing remotely</w:t>
            </w:r>
            <w:r w:rsidRPr="00625D59">
              <w:rPr>
                <w:sz w:val="22"/>
              </w:rPr>
              <w:t xml:space="preserve"> – Advocate may attend by CVP.</w:t>
            </w:r>
          </w:p>
          <w:p w14:paraId="0956E538" w14:textId="77777777" w:rsidR="00A0126F" w:rsidRPr="00625D59" w:rsidRDefault="00A0126F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  <w:p w14:paraId="13948725" w14:textId="2A3CDBFD" w:rsidR="001B7F72" w:rsidRPr="00625D59" w:rsidRDefault="001B7F72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  <w:u w:val="single"/>
              </w:rPr>
              <w:t>Defendant in custody, being produced</w:t>
            </w:r>
            <w:r w:rsidRPr="00625D59">
              <w:rPr>
                <w:sz w:val="22"/>
              </w:rPr>
              <w:t xml:space="preserve"> – Advocate must attend in person, save in exceptional circumstances.</w:t>
            </w:r>
          </w:p>
          <w:p w14:paraId="6CAF7942" w14:textId="77777777" w:rsidR="00A0126F" w:rsidRPr="00625D59" w:rsidRDefault="00A0126F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  <w:p w14:paraId="0D25CCFB" w14:textId="77777777" w:rsidR="001616F4" w:rsidRPr="00625D59" w:rsidRDefault="001B7F72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  <w:u w:val="single"/>
              </w:rPr>
              <w:t>Def</w:t>
            </w:r>
            <w:r w:rsidR="000B36BA" w:rsidRPr="00625D59">
              <w:rPr>
                <w:sz w:val="22"/>
                <w:u w:val="single"/>
              </w:rPr>
              <w:t>endant</w:t>
            </w:r>
            <w:r w:rsidRPr="00625D59">
              <w:rPr>
                <w:sz w:val="22"/>
                <w:u w:val="single"/>
              </w:rPr>
              <w:t xml:space="preserve"> on bail</w:t>
            </w:r>
            <w:r w:rsidRPr="00625D59">
              <w:rPr>
                <w:sz w:val="22"/>
              </w:rPr>
              <w:t xml:space="preserve"> - Advocate must attend in person, save in exceptional circumstances.</w:t>
            </w:r>
          </w:p>
          <w:p w14:paraId="4E705B53" w14:textId="75DAEBE5" w:rsidR="00B3303E" w:rsidRPr="00625D59" w:rsidRDefault="00B3303E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</w:p>
        </w:tc>
      </w:tr>
      <w:tr w:rsidR="00C033C4" w14:paraId="18F0FEFF" w14:textId="77777777" w:rsidTr="006A42F7">
        <w:tc>
          <w:tcPr>
            <w:tcW w:w="2689" w:type="dxa"/>
          </w:tcPr>
          <w:p w14:paraId="7AE26B0A" w14:textId="422C9081" w:rsidR="00C033C4" w:rsidRPr="00D74C42" w:rsidRDefault="00C033C4" w:rsidP="00593447">
            <w:pPr>
              <w:pStyle w:val="BodyText"/>
              <w:spacing w:after="0" w:line="264" w:lineRule="auto"/>
              <w:rPr>
                <w:sz w:val="23"/>
                <w:szCs w:val="23"/>
              </w:rPr>
            </w:pPr>
            <w:r w:rsidRPr="00D74C42">
              <w:rPr>
                <w:sz w:val="23"/>
                <w:szCs w:val="23"/>
              </w:rPr>
              <w:t xml:space="preserve">All other hearings where a defendant </w:t>
            </w:r>
            <w:r w:rsidRPr="00C55AB6">
              <w:rPr>
                <w:sz w:val="23"/>
                <w:szCs w:val="23"/>
              </w:rPr>
              <w:t>is</w:t>
            </w:r>
            <w:r w:rsidRPr="00D74C42">
              <w:rPr>
                <w:sz w:val="23"/>
                <w:szCs w:val="23"/>
                <w:u w:val="single"/>
              </w:rPr>
              <w:t xml:space="preserve"> </w:t>
            </w:r>
            <w:r w:rsidRPr="00D74C42">
              <w:rPr>
                <w:b/>
                <w:bCs/>
                <w:sz w:val="23"/>
                <w:szCs w:val="23"/>
                <w:u w:val="single"/>
              </w:rPr>
              <w:t>not</w:t>
            </w:r>
            <w:r w:rsidRPr="00D74C42">
              <w:rPr>
                <w:sz w:val="23"/>
                <w:szCs w:val="23"/>
              </w:rPr>
              <w:t xml:space="preserve"> attending</w:t>
            </w:r>
          </w:p>
        </w:tc>
        <w:tc>
          <w:tcPr>
            <w:tcW w:w="3685" w:type="dxa"/>
          </w:tcPr>
          <w:p w14:paraId="5B316846" w14:textId="55F8574D" w:rsidR="00C033C4" w:rsidRPr="00625D59" w:rsidRDefault="006D0CD7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</w:rPr>
              <w:t>May attend by CVP.</w:t>
            </w:r>
          </w:p>
        </w:tc>
        <w:tc>
          <w:tcPr>
            <w:tcW w:w="4048" w:type="dxa"/>
          </w:tcPr>
          <w:p w14:paraId="117A3932" w14:textId="639F04DB" w:rsidR="00C033C4" w:rsidRPr="00625D59" w:rsidRDefault="006D0CD7" w:rsidP="00593447">
            <w:pPr>
              <w:pStyle w:val="BodyText"/>
              <w:spacing w:after="0" w:line="264" w:lineRule="auto"/>
              <w:jc w:val="both"/>
              <w:rPr>
                <w:sz w:val="22"/>
              </w:rPr>
            </w:pPr>
            <w:r w:rsidRPr="00625D59">
              <w:rPr>
                <w:sz w:val="22"/>
              </w:rPr>
              <w:t>May attend by CVP.</w:t>
            </w:r>
          </w:p>
        </w:tc>
      </w:tr>
    </w:tbl>
    <w:p w14:paraId="02E2FAD6" w14:textId="77777777" w:rsidR="00F55A99" w:rsidRPr="005E745E" w:rsidRDefault="00F55A99" w:rsidP="002073E6">
      <w:pPr>
        <w:pStyle w:val="BodyText"/>
        <w:spacing w:after="0" w:line="360" w:lineRule="auto"/>
      </w:pPr>
    </w:p>
    <w:p w14:paraId="7214586F" w14:textId="72D6FF57" w:rsidR="00D06E83" w:rsidRPr="004931DD" w:rsidRDefault="00276330" w:rsidP="000634EE">
      <w:pPr>
        <w:pStyle w:val="BodyText"/>
        <w:spacing w:after="0" w:line="264" w:lineRule="auto"/>
        <w:jc w:val="both"/>
        <w:rPr>
          <w:b/>
          <w:bCs/>
          <w:i/>
          <w:iCs/>
        </w:rPr>
      </w:pPr>
      <w:r w:rsidRPr="004931DD">
        <w:rPr>
          <w:b/>
          <w:bCs/>
          <w:i/>
          <w:iCs/>
        </w:rPr>
        <w:t>Requests and a</w:t>
      </w:r>
      <w:r w:rsidR="00D06E83" w:rsidRPr="004931DD">
        <w:rPr>
          <w:b/>
          <w:bCs/>
          <w:i/>
          <w:iCs/>
        </w:rPr>
        <w:t xml:space="preserve">pplications to attend via </w:t>
      </w:r>
      <w:proofErr w:type="gramStart"/>
      <w:r w:rsidR="00D06E83" w:rsidRPr="004931DD">
        <w:rPr>
          <w:b/>
          <w:bCs/>
          <w:i/>
          <w:iCs/>
        </w:rPr>
        <w:t>CVP</w:t>
      </w:r>
      <w:proofErr w:type="gramEnd"/>
    </w:p>
    <w:p w14:paraId="7358B9BB" w14:textId="77777777" w:rsidR="00A91E90" w:rsidRPr="00280CE8" w:rsidRDefault="0019106B" w:rsidP="000634EE">
      <w:pPr>
        <w:pStyle w:val="BodyText"/>
        <w:spacing w:after="0" w:line="264" w:lineRule="auto"/>
        <w:jc w:val="both"/>
        <w:rPr>
          <w:sz w:val="23"/>
          <w:szCs w:val="23"/>
        </w:rPr>
      </w:pPr>
      <w:r w:rsidRPr="00280CE8">
        <w:rPr>
          <w:sz w:val="23"/>
          <w:szCs w:val="23"/>
        </w:rPr>
        <w:t xml:space="preserve">A </w:t>
      </w:r>
      <w:r w:rsidRPr="00280CE8">
        <w:rPr>
          <w:sz w:val="23"/>
          <w:szCs w:val="23"/>
          <w:u w:val="single"/>
        </w:rPr>
        <w:t>request</w:t>
      </w:r>
      <w:r w:rsidRPr="00280CE8">
        <w:rPr>
          <w:sz w:val="23"/>
          <w:szCs w:val="23"/>
        </w:rPr>
        <w:t xml:space="preserve"> for CVP relates to</w:t>
      </w:r>
      <w:r w:rsidR="006532D9" w:rsidRPr="00280CE8">
        <w:rPr>
          <w:sz w:val="23"/>
          <w:szCs w:val="23"/>
        </w:rPr>
        <w:t xml:space="preserve"> any entry above which </w:t>
      </w:r>
      <w:r w:rsidR="00841059" w:rsidRPr="00280CE8">
        <w:rPr>
          <w:sz w:val="23"/>
          <w:szCs w:val="23"/>
        </w:rPr>
        <w:t xml:space="preserve">states that </w:t>
      </w:r>
      <w:r w:rsidR="006532D9" w:rsidRPr="00280CE8">
        <w:rPr>
          <w:sz w:val="23"/>
          <w:szCs w:val="23"/>
        </w:rPr>
        <w:t xml:space="preserve">an advocate ‘may’ attend </w:t>
      </w:r>
      <w:r w:rsidR="00841059" w:rsidRPr="00280CE8">
        <w:rPr>
          <w:sz w:val="23"/>
          <w:szCs w:val="23"/>
        </w:rPr>
        <w:t>remotely.</w:t>
      </w:r>
      <w:r w:rsidR="003A18AF" w:rsidRPr="00280CE8">
        <w:rPr>
          <w:sz w:val="23"/>
          <w:szCs w:val="23"/>
        </w:rPr>
        <w:t xml:space="preserve">  An </w:t>
      </w:r>
      <w:r w:rsidR="003A18AF" w:rsidRPr="00280CE8">
        <w:rPr>
          <w:sz w:val="23"/>
          <w:szCs w:val="23"/>
          <w:u w:val="single"/>
        </w:rPr>
        <w:t>application</w:t>
      </w:r>
      <w:r w:rsidR="003A18AF" w:rsidRPr="00280CE8">
        <w:rPr>
          <w:sz w:val="23"/>
          <w:szCs w:val="23"/>
        </w:rPr>
        <w:t xml:space="preserve"> for CVP relates to all other circumstances, including any reference to exceptional circumstances.  Sufficient detail will be required </w:t>
      </w:r>
      <w:r w:rsidR="00C16B19" w:rsidRPr="00280CE8">
        <w:rPr>
          <w:sz w:val="23"/>
          <w:szCs w:val="23"/>
        </w:rPr>
        <w:t xml:space="preserve">of the exceptional circumstances so that a judge can consider </w:t>
      </w:r>
      <w:r w:rsidR="00A91E90" w:rsidRPr="00280CE8">
        <w:rPr>
          <w:sz w:val="23"/>
          <w:szCs w:val="23"/>
        </w:rPr>
        <w:t xml:space="preserve">them and determine the application.  </w:t>
      </w:r>
    </w:p>
    <w:p w14:paraId="3273E3E6" w14:textId="77777777" w:rsidR="0032313D" w:rsidRPr="00280CE8" w:rsidRDefault="0032313D" w:rsidP="000634EE">
      <w:pPr>
        <w:pStyle w:val="BodyText"/>
        <w:spacing w:after="0" w:line="264" w:lineRule="auto"/>
        <w:jc w:val="both"/>
        <w:rPr>
          <w:sz w:val="23"/>
          <w:szCs w:val="23"/>
        </w:rPr>
      </w:pPr>
    </w:p>
    <w:p w14:paraId="7C8639E2" w14:textId="2E2F437F" w:rsidR="00C45DAA" w:rsidRPr="00280CE8" w:rsidRDefault="00793085" w:rsidP="000634EE">
      <w:pPr>
        <w:pStyle w:val="BodyText"/>
        <w:spacing w:after="0" w:line="264" w:lineRule="auto"/>
        <w:jc w:val="both"/>
        <w:rPr>
          <w:sz w:val="23"/>
          <w:szCs w:val="23"/>
        </w:rPr>
      </w:pPr>
      <w:r w:rsidRPr="00280CE8">
        <w:rPr>
          <w:sz w:val="23"/>
          <w:szCs w:val="23"/>
        </w:rPr>
        <w:t xml:space="preserve">The </w:t>
      </w:r>
      <w:r w:rsidR="00F83C00" w:rsidRPr="00280CE8">
        <w:rPr>
          <w:sz w:val="23"/>
          <w:szCs w:val="23"/>
        </w:rPr>
        <w:t xml:space="preserve">daily </w:t>
      </w:r>
      <w:r w:rsidRPr="00280CE8">
        <w:rPr>
          <w:sz w:val="23"/>
          <w:szCs w:val="23"/>
        </w:rPr>
        <w:t xml:space="preserve">volume of </w:t>
      </w:r>
      <w:r w:rsidR="00C45DAA" w:rsidRPr="00280CE8">
        <w:rPr>
          <w:sz w:val="23"/>
          <w:szCs w:val="23"/>
        </w:rPr>
        <w:t xml:space="preserve">requests/applications for CVP </w:t>
      </w:r>
      <w:r w:rsidR="0074050B" w:rsidRPr="00280CE8">
        <w:rPr>
          <w:sz w:val="23"/>
          <w:szCs w:val="23"/>
        </w:rPr>
        <w:t>demands</w:t>
      </w:r>
      <w:r w:rsidR="004122DC" w:rsidRPr="00280CE8">
        <w:rPr>
          <w:sz w:val="23"/>
          <w:szCs w:val="23"/>
        </w:rPr>
        <w:t xml:space="preserve"> considerable</w:t>
      </w:r>
      <w:r w:rsidR="00342911" w:rsidRPr="00280CE8">
        <w:rPr>
          <w:sz w:val="23"/>
          <w:szCs w:val="23"/>
        </w:rPr>
        <w:t xml:space="preserve"> </w:t>
      </w:r>
      <w:r w:rsidR="00CB7CC7" w:rsidRPr="00280CE8">
        <w:rPr>
          <w:sz w:val="23"/>
          <w:szCs w:val="23"/>
        </w:rPr>
        <w:t>administrative</w:t>
      </w:r>
      <w:r w:rsidR="00342911" w:rsidRPr="00280CE8">
        <w:rPr>
          <w:sz w:val="23"/>
          <w:szCs w:val="23"/>
        </w:rPr>
        <w:t xml:space="preserve"> </w:t>
      </w:r>
      <w:r w:rsidR="00B23487" w:rsidRPr="00280CE8">
        <w:rPr>
          <w:sz w:val="23"/>
          <w:szCs w:val="23"/>
        </w:rPr>
        <w:t xml:space="preserve">and judicial </w:t>
      </w:r>
      <w:r w:rsidR="00342911" w:rsidRPr="00280CE8">
        <w:rPr>
          <w:sz w:val="23"/>
          <w:szCs w:val="23"/>
        </w:rPr>
        <w:t xml:space="preserve">resources </w:t>
      </w:r>
      <w:r w:rsidR="00B23487" w:rsidRPr="00280CE8">
        <w:rPr>
          <w:sz w:val="23"/>
          <w:szCs w:val="23"/>
        </w:rPr>
        <w:t>and the intention</w:t>
      </w:r>
      <w:r w:rsidR="00342911" w:rsidRPr="00280CE8">
        <w:rPr>
          <w:sz w:val="23"/>
          <w:szCs w:val="23"/>
        </w:rPr>
        <w:t xml:space="preserve"> </w:t>
      </w:r>
      <w:r w:rsidR="00454391" w:rsidRPr="00280CE8">
        <w:rPr>
          <w:sz w:val="23"/>
          <w:szCs w:val="23"/>
        </w:rPr>
        <w:t xml:space="preserve">of </w:t>
      </w:r>
      <w:r w:rsidR="00627CA8" w:rsidRPr="00280CE8">
        <w:rPr>
          <w:sz w:val="23"/>
          <w:szCs w:val="23"/>
        </w:rPr>
        <w:t xml:space="preserve">clarifying the general approach above is to </w:t>
      </w:r>
      <w:r w:rsidR="00E33242" w:rsidRPr="00280CE8">
        <w:rPr>
          <w:sz w:val="23"/>
          <w:szCs w:val="23"/>
        </w:rPr>
        <w:t>minimise</w:t>
      </w:r>
      <w:r w:rsidR="00627CA8" w:rsidRPr="00280CE8">
        <w:rPr>
          <w:sz w:val="23"/>
          <w:szCs w:val="23"/>
        </w:rPr>
        <w:t xml:space="preserve"> this.</w:t>
      </w:r>
      <w:r w:rsidR="00E44270" w:rsidRPr="00280CE8">
        <w:rPr>
          <w:sz w:val="23"/>
          <w:szCs w:val="23"/>
        </w:rPr>
        <w:t xml:space="preserve">  The </w:t>
      </w:r>
      <w:r w:rsidR="00CB7CC7" w:rsidRPr="00280CE8">
        <w:rPr>
          <w:sz w:val="23"/>
          <w:szCs w:val="23"/>
        </w:rPr>
        <w:t>C</w:t>
      </w:r>
      <w:r w:rsidR="00E44270" w:rsidRPr="00280CE8">
        <w:rPr>
          <w:sz w:val="23"/>
          <w:szCs w:val="23"/>
        </w:rPr>
        <w:t xml:space="preserve">ourt does, however, need to </w:t>
      </w:r>
      <w:r w:rsidR="00D14C48" w:rsidRPr="00280CE8">
        <w:rPr>
          <w:sz w:val="23"/>
          <w:szCs w:val="23"/>
        </w:rPr>
        <w:t xml:space="preserve">be notified </w:t>
      </w:r>
      <w:r w:rsidR="008624BE" w:rsidRPr="00280CE8">
        <w:rPr>
          <w:sz w:val="23"/>
          <w:szCs w:val="23"/>
        </w:rPr>
        <w:t xml:space="preserve">of any advocate’s </w:t>
      </w:r>
      <w:r w:rsidR="00741BF7" w:rsidRPr="00280CE8">
        <w:rPr>
          <w:sz w:val="23"/>
          <w:szCs w:val="23"/>
        </w:rPr>
        <w:t>request</w:t>
      </w:r>
      <w:r w:rsidR="009A1B9A" w:rsidRPr="00280CE8">
        <w:rPr>
          <w:sz w:val="23"/>
          <w:szCs w:val="23"/>
        </w:rPr>
        <w:t>/application</w:t>
      </w:r>
      <w:r w:rsidR="00741BF7" w:rsidRPr="00280CE8">
        <w:rPr>
          <w:sz w:val="23"/>
          <w:szCs w:val="23"/>
        </w:rPr>
        <w:t xml:space="preserve"> to attend by CVP</w:t>
      </w:r>
      <w:r w:rsidR="001926F3" w:rsidRPr="00280CE8">
        <w:rPr>
          <w:sz w:val="23"/>
          <w:szCs w:val="23"/>
        </w:rPr>
        <w:t xml:space="preserve"> in a timely fashion</w:t>
      </w:r>
      <w:r w:rsidR="00D87A33" w:rsidRPr="00280CE8">
        <w:rPr>
          <w:sz w:val="23"/>
          <w:szCs w:val="23"/>
        </w:rPr>
        <w:t xml:space="preserve">.  Late applications </w:t>
      </w:r>
      <w:r w:rsidR="00B47E56" w:rsidRPr="00280CE8">
        <w:rPr>
          <w:sz w:val="23"/>
          <w:szCs w:val="23"/>
        </w:rPr>
        <w:t xml:space="preserve">are </w:t>
      </w:r>
      <w:proofErr w:type="gramStart"/>
      <w:r w:rsidR="00B47E56" w:rsidRPr="00280CE8">
        <w:rPr>
          <w:sz w:val="23"/>
          <w:szCs w:val="23"/>
        </w:rPr>
        <w:t>unhelpful</w:t>
      </w:r>
      <w:proofErr w:type="gramEnd"/>
      <w:r w:rsidR="00B47E56" w:rsidRPr="00280CE8">
        <w:rPr>
          <w:sz w:val="23"/>
          <w:szCs w:val="23"/>
        </w:rPr>
        <w:t xml:space="preserve"> and </w:t>
      </w:r>
      <w:r w:rsidR="00C62BFA" w:rsidRPr="00280CE8">
        <w:rPr>
          <w:sz w:val="23"/>
          <w:szCs w:val="23"/>
        </w:rPr>
        <w:t xml:space="preserve">it should not be assumed, as often </w:t>
      </w:r>
      <w:r w:rsidR="006D5B63">
        <w:rPr>
          <w:sz w:val="23"/>
          <w:szCs w:val="23"/>
        </w:rPr>
        <w:t xml:space="preserve">seems </w:t>
      </w:r>
      <w:r w:rsidR="00C62BFA" w:rsidRPr="00280CE8">
        <w:rPr>
          <w:sz w:val="23"/>
          <w:szCs w:val="23"/>
        </w:rPr>
        <w:t>the case, that they will be granted because the Court is left with little choice.</w:t>
      </w:r>
      <w:r w:rsidR="00E035D2" w:rsidRPr="00280CE8">
        <w:rPr>
          <w:sz w:val="23"/>
          <w:szCs w:val="23"/>
        </w:rPr>
        <w:t xml:space="preserve">  Applications</w:t>
      </w:r>
      <w:r w:rsidR="007151D9" w:rsidRPr="00280CE8">
        <w:rPr>
          <w:sz w:val="23"/>
          <w:szCs w:val="23"/>
        </w:rPr>
        <w:t xml:space="preserve"> should</w:t>
      </w:r>
      <w:r w:rsidR="007151D9">
        <w:t xml:space="preserve"> </w:t>
      </w:r>
      <w:r w:rsidR="007151D9" w:rsidRPr="00280CE8">
        <w:rPr>
          <w:sz w:val="23"/>
          <w:szCs w:val="23"/>
        </w:rPr>
        <w:t>also not be emailed directly to a judge, unless that judge has given prior consent to receive such communications (please see below more generally in relation to emails).</w:t>
      </w:r>
    </w:p>
    <w:p w14:paraId="07CA34AE" w14:textId="77777777" w:rsidR="0032313D" w:rsidRDefault="0032313D" w:rsidP="000634EE">
      <w:pPr>
        <w:pStyle w:val="BodyText"/>
        <w:spacing w:after="0" w:line="264" w:lineRule="auto"/>
        <w:jc w:val="both"/>
      </w:pPr>
    </w:p>
    <w:p w14:paraId="7E59134D" w14:textId="6D94DFDD" w:rsidR="00D458BB" w:rsidRPr="00280CE8" w:rsidRDefault="00D06E83" w:rsidP="000634EE">
      <w:pPr>
        <w:pStyle w:val="BodyText"/>
        <w:spacing w:after="0" w:line="264" w:lineRule="auto"/>
        <w:jc w:val="both"/>
        <w:rPr>
          <w:sz w:val="23"/>
          <w:szCs w:val="23"/>
        </w:rPr>
      </w:pPr>
      <w:r w:rsidRPr="00280CE8">
        <w:rPr>
          <w:sz w:val="23"/>
          <w:szCs w:val="23"/>
        </w:rPr>
        <w:t>Requests for CVP attendance</w:t>
      </w:r>
      <w:r w:rsidR="00F07943" w:rsidRPr="00280CE8">
        <w:rPr>
          <w:sz w:val="23"/>
          <w:szCs w:val="23"/>
        </w:rPr>
        <w:t xml:space="preserve">, </w:t>
      </w:r>
      <w:r w:rsidR="00651A22" w:rsidRPr="00280CE8">
        <w:rPr>
          <w:sz w:val="23"/>
          <w:szCs w:val="23"/>
        </w:rPr>
        <w:t>as defined above</w:t>
      </w:r>
      <w:r w:rsidR="00F07943" w:rsidRPr="00280CE8">
        <w:rPr>
          <w:sz w:val="23"/>
          <w:szCs w:val="23"/>
        </w:rPr>
        <w:t>,</w:t>
      </w:r>
      <w:r w:rsidR="00B06ABE" w:rsidRPr="00280CE8">
        <w:rPr>
          <w:sz w:val="23"/>
          <w:szCs w:val="23"/>
        </w:rPr>
        <w:t xml:space="preserve"> should be notified to the </w:t>
      </w:r>
      <w:r w:rsidR="001A685F" w:rsidRPr="00280CE8">
        <w:rPr>
          <w:sz w:val="23"/>
          <w:szCs w:val="23"/>
        </w:rPr>
        <w:t>Li</w:t>
      </w:r>
      <w:r w:rsidR="00B06ABE" w:rsidRPr="00280CE8">
        <w:rPr>
          <w:sz w:val="23"/>
          <w:szCs w:val="23"/>
        </w:rPr>
        <w:t xml:space="preserve">st </w:t>
      </w:r>
      <w:r w:rsidR="001A685F" w:rsidRPr="00280CE8">
        <w:rPr>
          <w:sz w:val="23"/>
          <w:szCs w:val="23"/>
        </w:rPr>
        <w:t>O</w:t>
      </w:r>
      <w:r w:rsidR="00B06ABE" w:rsidRPr="00280CE8">
        <w:rPr>
          <w:sz w:val="23"/>
          <w:szCs w:val="23"/>
        </w:rPr>
        <w:t xml:space="preserve">ffice </w:t>
      </w:r>
      <w:r w:rsidR="001A685F" w:rsidRPr="00280CE8">
        <w:rPr>
          <w:sz w:val="23"/>
          <w:szCs w:val="23"/>
        </w:rPr>
        <w:t>as soon as the first draft list has been published.</w:t>
      </w:r>
      <w:r w:rsidR="00D458BB" w:rsidRPr="00280CE8">
        <w:rPr>
          <w:sz w:val="23"/>
          <w:szCs w:val="23"/>
        </w:rPr>
        <w:t xml:space="preserve">  </w:t>
      </w:r>
      <w:r w:rsidR="00A93605" w:rsidRPr="00280CE8">
        <w:rPr>
          <w:sz w:val="23"/>
          <w:szCs w:val="23"/>
        </w:rPr>
        <w:t xml:space="preserve">The </w:t>
      </w:r>
      <w:r w:rsidR="001A685F" w:rsidRPr="00280CE8">
        <w:rPr>
          <w:sz w:val="23"/>
          <w:szCs w:val="23"/>
        </w:rPr>
        <w:t>L</w:t>
      </w:r>
      <w:r w:rsidR="00A93605" w:rsidRPr="00280CE8">
        <w:rPr>
          <w:sz w:val="23"/>
          <w:szCs w:val="23"/>
        </w:rPr>
        <w:t xml:space="preserve">ist </w:t>
      </w:r>
      <w:r w:rsidR="001A685F" w:rsidRPr="00280CE8">
        <w:rPr>
          <w:sz w:val="23"/>
          <w:szCs w:val="23"/>
        </w:rPr>
        <w:t>O</w:t>
      </w:r>
      <w:r w:rsidR="00A93605" w:rsidRPr="00280CE8">
        <w:rPr>
          <w:sz w:val="23"/>
          <w:szCs w:val="23"/>
        </w:rPr>
        <w:t xml:space="preserve">ffice </w:t>
      </w:r>
      <w:r w:rsidR="006057DE" w:rsidRPr="00280CE8">
        <w:rPr>
          <w:sz w:val="23"/>
          <w:szCs w:val="23"/>
        </w:rPr>
        <w:t xml:space="preserve">will apply the </w:t>
      </w:r>
      <w:r w:rsidR="000F59D1" w:rsidRPr="00280CE8">
        <w:rPr>
          <w:sz w:val="23"/>
          <w:szCs w:val="23"/>
        </w:rPr>
        <w:t>provisions</w:t>
      </w:r>
      <w:r w:rsidR="006057DE" w:rsidRPr="00280CE8">
        <w:rPr>
          <w:sz w:val="23"/>
          <w:szCs w:val="23"/>
        </w:rPr>
        <w:t xml:space="preserve"> in the table above in dealing with such requests.  </w:t>
      </w:r>
      <w:r w:rsidR="008C48EA" w:rsidRPr="00280CE8">
        <w:rPr>
          <w:sz w:val="23"/>
          <w:szCs w:val="23"/>
        </w:rPr>
        <w:t xml:space="preserve">The </w:t>
      </w:r>
      <w:r w:rsidR="00422331" w:rsidRPr="00280CE8">
        <w:rPr>
          <w:sz w:val="23"/>
          <w:szCs w:val="23"/>
        </w:rPr>
        <w:t>L</w:t>
      </w:r>
      <w:r w:rsidR="008C48EA" w:rsidRPr="00280CE8">
        <w:rPr>
          <w:sz w:val="23"/>
          <w:szCs w:val="23"/>
        </w:rPr>
        <w:t xml:space="preserve">ist </w:t>
      </w:r>
      <w:r w:rsidR="00422331" w:rsidRPr="00280CE8">
        <w:rPr>
          <w:sz w:val="23"/>
          <w:szCs w:val="23"/>
        </w:rPr>
        <w:t>O</w:t>
      </w:r>
      <w:r w:rsidR="008C48EA" w:rsidRPr="00280CE8">
        <w:rPr>
          <w:sz w:val="23"/>
          <w:szCs w:val="23"/>
        </w:rPr>
        <w:t>ffice will refer any doubtful situation to a judge.</w:t>
      </w:r>
    </w:p>
    <w:p w14:paraId="193E842D" w14:textId="77777777" w:rsidR="0032313D" w:rsidRPr="00280CE8" w:rsidRDefault="0032313D" w:rsidP="000634EE">
      <w:pPr>
        <w:pStyle w:val="BodyText"/>
        <w:spacing w:after="0" w:line="264" w:lineRule="auto"/>
        <w:jc w:val="both"/>
        <w:rPr>
          <w:sz w:val="23"/>
          <w:szCs w:val="23"/>
        </w:rPr>
      </w:pPr>
    </w:p>
    <w:p w14:paraId="7E0C0D8F" w14:textId="3B2829B3" w:rsidR="00D06E83" w:rsidRPr="00280CE8" w:rsidRDefault="00B63560" w:rsidP="000634EE">
      <w:pPr>
        <w:pStyle w:val="BodyText"/>
        <w:spacing w:after="0" w:line="264" w:lineRule="auto"/>
        <w:jc w:val="both"/>
        <w:rPr>
          <w:sz w:val="23"/>
          <w:szCs w:val="23"/>
        </w:rPr>
      </w:pPr>
      <w:r w:rsidRPr="00280CE8">
        <w:rPr>
          <w:sz w:val="23"/>
          <w:szCs w:val="23"/>
        </w:rPr>
        <w:t>A</w:t>
      </w:r>
      <w:r w:rsidR="00422331" w:rsidRPr="00280CE8">
        <w:rPr>
          <w:sz w:val="23"/>
          <w:szCs w:val="23"/>
        </w:rPr>
        <w:t xml:space="preserve">pplications for CVP attendance </w:t>
      </w:r>
      <w:r w:rsidRPr="00280CE8">
        <w:rPr>
          <w:sz w:val="23"/>
          <w:szCs w:val="23"/>
        </w:rPr>
        <w:t>should again</w:t>
      </w:r>
      <w:r w:rsidR="00045A33" w:rsidRPr="00280CE8">
        <w:rPr>
          <w:sz w:val="23"/>
          <w:szCs w:val="23"/>
        </w:rPr>
        <w:t xml:space="preserve"> be notified to the </w:t>
      </w:r>
      <w:r w:rsidR="00F03491" w:rsidRPr="00280CE8">
        <w:rPr>
          <w:sz w:val="23"/>
          <w:szCs w:val="23"/>
        </w:rPr>
        <w:t>L</w:t>
      </w:r>
      <w:r w:rsidR="00045A33" w:rsidRPr="00280CE8">
        <w:rPr>
          <w:sz w:val="23"/>
          <w:szCs w:val="23"/>
        </w:rPr>
        <w:t xml:space="preserve">ist </w:t>
      </w:r>
      <w:r w:rsidR="00F03491" w:rsidRPr="00280CE8">
        <w:rPr>
          <w:sz w:val="23"/>
          <w:szCs w:val="23"/>
        </w:rPr>
        <w:t>O</w:t>
      </w:r>
      <w:r w:rsidR="00045A33" w:rsidRPr="00280CE8">
        <w:rPr>
          <w:sz w:val="23"/>
          <w:szCs w:val="23"/>
        </w:rPr>
        <w:t xml:space="preserve">ffice </w:t>
      </w:r>
      <w:r w:rsidR="00580A98" w:rsidRPr="00280CE8">
        <w:rPr>
          <w:sz w:val="23"/>
          <w:szCs w:val="23"/>
        </w:rPr>
        <w:t xml:space="preserve">as soon as </w:t>
      </w:r>
      <w:r w:rsidR="00923592" w:rsidRPr="00280CE8">
        <w:rPr>
          <w:sz w:val="23"/>
          <w:szCs w:val="23"/>
        </w:rPr>
        <w:t>the first draft list</w:t>
      </w:r>
      <w:r w:rsidR="00580A98" w:rsidRPr="00280CE8">
        <w:rPr>
          <w:sz w:val="23"/>
          <w:szCs w:val="23"/>
        </w:rPr>
        <w:t xml:space="preserve"> has been published.  They will </w:t>
      </w:r>
      <w:proofErr w:type="gramStart"/>
      <w:r w:rsidR="00580A98" w:rsidRPr="00280CE8">
        <w:rPr>
          <w:sz w:val="23"/>
          <w:szCs w:val="23"/>
        </w:rPr>
        <w:t>referred</w:t>
      </w:r>
      <w:proofErr w:type="gramEnd"/>
      <w:r w:rsidR="00580A98" w:rsidRPr="00280CE8">
        <w:rPr>
          <w:sz w:val="23"/>
          <w:szCs w:val="23"/>
        </w:rPr>
        <w:t xml:space="preserve"> to a judge for </w:t>
      </w:r>
      <w:r w:rsidR="00646143" w:rsidRPr="00280CE8">
        <w:rPr>
          <w:sz w:val="23"/>
          <w:szCs w:val="23"/>
        </w:rPr>
        <w:t>determination.</w:t>
      </w:r>
    </w:p>
    <w:p w14:paraId="60114605" w14:textId="77777777" w:rsidR="00651A22" w:rsidRPr="00280CE8" w:rsidRDefault="00651A22" w:rsidP="000634EE">
      <w:pPr>
        <w:pStyle w:val="BodyText"/>
        <w:spacing w:after="0" w:line="264" w:lineRule="auto"/>
        <w:jc w:val="both"/>
        <w:rPr>
          <w:sz w:val="23"/>
          <w:szCs w:val="23"/>
        </w:rPr>
      </w:pPr>
    </w:p>
    <w:p w14:paraId="033B95B7" w14:textId="2C36A395" w:rsidR="00646143" w:rsidRPr="00280CE8" w:rsidRDefault="00646143" w:rsidP="000634EE">
      <w:pPr>
        <w:pStyle w:val="BodyText"/>
        <w:spacing w:after="0" w:line="264" w:lineRule="auto"/>
        <w:jc w:val="both"/>
        <w:rPr>
          <w:sz w:val="23"/>
          <w:szCs w:val="23"/>
        </w:rPr>
      </w:pPr>
      <w:r w:rsidRPr="00280CE8">
        <w:rPr>
          <w:sz w:val="23"/>
          <w:szCs w:val="23"/>
        </w:rPr>
        <w:t xml:space="preserve">Although arrangements are </w:t>
      </w:r>
      <w:r w:rsidR="0029230E" w:rsidRPr="00280CE8">
        <w:rPr>
          <w:sz w:val="23"/>
          <w:szCs w:val="23"/>
        </w:rPr>
        <w:t>occasionally</w:t>
      </w:r>
      <w:r w:rsidRPr="00280CE8">
        <w:rPr>
          <w:sz w:val="23"/>
          <w:szCs w:val="23"/>
        </w:rPr>
        <w:t xml:space="preserve"> agreed for the attendance of </w:t>
      </w:r>
      <w:r w:rsidR="00B77966" w:rsidRPr="00280CE8">
        <w:rPr>
          <w:sz w:val="23"/>
          <w:szCs w:val="23"/>
        </w:rPr>
        <w:t xml:space="preserve">a defendant on </w:t>
      </w:r>
      <w:r w:rsidR="00A0471C" w:rsidRPr="00280CE8">
        <w:rPr>
          <w:sz w:val="23"/>
          <w:szCs w:val="23"/>
        </w:rPr>
        <w:t>b</w:t>
      </w:r>
      <w:r w:rsidR="00B77966" w:rsidRPr="00280CE8">
        <w:rPr>
          <w:sz w:val="23"/>
          <w:szCs w:val="23"/>
        </w:rPr>
        <w:t>ail remotely from another court</w:t>
      </w:r>
      <w:r w:rsidR="006E5FC7" w:rsidRPr="00280CE8">
        <w:rPr>
          <w:sz w:val="23"/>
          <w:szCs w:val="23"/>
        </w:rPr>
        <w:t xml:space="preserve"> building</w:t>
      </w:r>
      <w:r w:rsidR="007A1A56">
        <w:rPr>
          <w:sz w:val="23"/>
          <w:szCs w:val="23"/>
        </w:rPr>
        <w:t xml:space="preserve"> or police station</w:t>
      </w:r>
      <w:r w:rsidR="006E5FC7" w:rsidRPr="00280CE8">
        <w:rPr>
          <w:sz w:val="23"/>
          <w:szCs w:val="23"/>
        </w:rPr>
        <w:t>, applications should not be made for defendants</w:t>
      </w:r>
      <w:r w:rsidR="0067398C" w:rsidRPr="00280CE8">
        <w:rPr>
          <w:sz w:val="23"/>
          <w:szCs w:val="23"/>
        </w:rPr>
        <w:t xml:space="preserve"> on bail to appear by CVP from their home/place of work etc.</w:t>
      </w:r>
    </w:p>
    <w:p w14:paraId="47BA70FB" w14:textId="77777777" w:rsidR="007967D4" w:rsidRDefault="007967D4" w:rsidP="000634EE">
      <w:pPr>
        <w:pStyle w:val="BodyText"/>
        <w:spacing w:after="0" w:line="264" w:lineRule="auto"/>
        <w:jc w:val="both"/>
        <w:rPr>
          <w:i/>
          <w:iCs/>
        </w:rPr>
      </w:pPr>
    </w:p>
    <w:p w14:paraId="36EB7C56" w14:textId="2E13C6B2" w:rsidR="002F6166" w:rsidRPr="00EB699A" w:rsidRDefault="002F6166" w:rsidP="000634EE">
      <w:pPr>
        <w:pStyle w:val="BodyText"/>
        <w:spacing w:after="0" w:line="264" w:lineRule="auto"/>
        <w:jc w:val="both"/>
        <w:rPr>
          <w:b/>
          <w:bCs/>
          <w:i/>
          <w:iCs/>
        </w:rPr>
      </w:pPr>
      <w:r w:rsidRPr="00EB699A">
        <w:rPr>
          <w:b/>
          <w:bCs/>
          <w:i/>
          <w:iCs/>
        </w:rPr>
        <w:t>Drafting documents</w:t>
      </w:r>
    </w:p>
    <w:p w14:paraId="40A9162B" w14:textId="79FE15B6" w:rsidR="002F6166" w:rsidRPr="00280CE8" w:rsidRDefault="002F6166" w:rsidP="000634EE">
      <w:pPr>
        <w:pStyle w:val="BodyText"/>
        <w:spacing w:after="0" w:line="264" w:lineRule="auto"/>
        <w:jc w:val="both"/>
        <w:rPr>
          <w:sz w:val="23"/>
          <w:szCs w:val="23"/>
        </w:rPr>
      </w:pPr>
      <w:r w:rsidRPr="00280CE8">
        <w:rPr>
          <w:sz w:val="23"/>
          <w:szCs w:val="23"/>
        </w:rPr>
        <w:t xml:space="preserve">The Court </w:t>
      </w:r>
      <w:r w:rsidR="0050493F" w:rsidRPr="00280CE8">
        <w:rPr>
          <w:sz w:val="23"/>
          <w:szCs w:val="23"/>
        </w:rPr>
        <w:t xml:space="preserve">understands the difficulties that can arise for advocates if </w:t>
      </w:r>
      <w:r w:rsidR="00A3241A" w:rsidRPr="00280CE8">
        <w:rPr>
          <w:sz w:val="23"/>
          <w:szCs w:val="23"/>
        </w:rPr>
        <w:t>directions are made for the provision of written submissions, sentencing notes and the like</w:t>
      </w:r>
      <w:r w:rsidR="00AE667D" w:rsidRPr="00280CE8">
        <w:rPr>
          <w:sz w:val="23"/>
          <w:szCs w:val="23"/>
        </w:rPr>
        <w:t xml:space="preserve">, </w:t>
      </w:r>
      <w:r w:rsidR="008C38F5">
        <w:rPr>
          <w:sz w:val="23"/>
          <w:szCs w:val="23"/>
        </w:rPr>
        <w:t>which are either unreasonable</w:t>
      </w:r>
      <w:r w:rsidR="00AE667D" w:rsidRPr="00280CE8">
        <w:rPr>
          <w:sz w:val="23"/>
          <w:szCs w:val="23"/>
        </w:rPr>
        <w:t xml:space="preserve"> in principle or in the timing thereof.  </w:t>
      </w:r>
      <w:r w:rsidR="00BF622E" w:rsidRPr="00280CE8">
        <w:rPr>
          <w:sz w:val="23"/>
          <w:szCs w:val="23"/>
        </w:rPr>
        <w:t xml:space="preserve">Judges will </w:t>
      </w:r>
      <w:r w:rsidR="00B96EDE" w:rsidRPr="00280CE8">
        <w:rPr>
          <w:sz w:val="23"/>
          <w:szCs w:val="23"/>
        </w:rPr>
        <w:t xml:space="preserve">generally </w:t>
      </w:r>
      <w:r w:rsidR="00BF622E" w:rsidRPr="00280CE8">
        <w:rPr>
          <w:sz w:val="23"/>
          <w:szCs w:val="23"/>
        </w:rPr>
        <w:t xml:space="preserve">only </w:t>
      </w:r>
      <w:r w:rsidR="00A41DAA" w:rsidRPr="00280CE8">
        <w:rPr>
          <w:sz w:val="23"/>
          <w:szCs w:val="23"/>
        </w:rPr>
        <w:t>request/</w:t>
      </w:r>
      <w:r w:rsidR="00BF622E" w:rsidRPr="00280CE8">
        <w:rPr>
          <w:sz w:val="23"/>
          <w:szCs w:val="23"/>
        </w:rPr>
        <w:t xml:space="preserve">direct </w:t>
      </w:r>
      <w:r w:rsidR="00695A5E" w:rsidRPr="00280CE8">
        <w:rPr>
          <w:sz w:val="23"/>
          <w:szCs w:val="23"/>
        </w:rPr>
        <w:t>the drafting of</w:t>
      </w:r>
      <w:r w:rsidR="00E339D7" w:rsidRPr="00280CE8">
        <w:rPr>
          <w:sz w:val="23"/>
          <w:szCs w:val="23"/>
        </w:rPr>
        <w:t xml:space="preserve"> documentation </w:t>
      </w:r>
      <w:r w:rsidR="001F5FD7" w:rsidRPr="00280CE8">
        <w:rPr>
          <w:sz w:val="23"/>
          <w:szCs w:val="23"/>
        </w:rPr>
        <w:t xml:space="preserve">in </w:t>
      </w:r>
      <w:r w:rsidR="00A41DAA" w:rsidRPr="00280CE8">
        <w:rPr>
          <w:sz w:val="23"/>
          <w:szCs w:val="23"/>
        </w:rPr>
        <w:t xml:space="preserve">situations that involve </w:t>
      </w:r>
      <w:r w:rsidR="00B96EDE" w:rsidRPr="00280CE8">
        <w:rPr>
          <w:sz w:val="23"/>
          <w:szCs w:val="23"/>
        </w:rPr>
        <w:t>novel or complex features of law or fact</w:t>
      </w:r>
      <w:r w:rsidR="00FE59DA" w:rsidRPr="00280CE8">
        <w:rPr>
          <w:sz w:val="23"/>
          <w:szCs w:val="23"/>
        </w:rPr>
        <w:t xml:space="preserve">.  Any assistance </w:t>
      </w:r>
      <w:r w:rsidR="00BD3335" w:rsidRPr="00280CE8">
        <w:rPr>
          <w:sz w:val="23"/>
          <w:szCs w:val="23"/>
        </w:rPr>
        <w:t xml:space="preserve">provided by advocates beyond this is always welcomed, </w:t>
      </w:r>
      <w:r w:rsidR="00442DEE" w:rsidRPr="00280CE8">
        <w:rPr>
          <w:sz w:val="23"/>
          <w:szCs w:val="23"/>
        </w:rPr>
        <w:t>but will not be expected, by judges.</w:t>
      </w:r>
    </w:p>
    <w:p w14:paraId="61BD1677" w14:textId="77777777" w:rsidR="007967D4" w:rsidRDefault="007967D4" w:rsidP="000634EE">
      <w:pPr>
        <w:pStyle w:val="BodyText"/>
        <w:spacing w:after="0" w:line="264" w:lineRule="auto"/>
        <w:jc w:val="both"/>
        <w:rPr>
          <w:i/>
          <w:iCs/>
        </w:rPr>
      </w:pPr>
    </w:p>
    <w:p w14:paraId="07308FA6" w14:textId="66839A23" w:rsidR="00E57DD5" w:rsidRPr="00EB699A" w:rsidRDefault="0064406E" w:rsidP="000634EE">
      <w:pPr>
        <w:pStyle w:val="BodyText"/>
        <w:spacing w:after="0" w:line="264" w:lineRule="auto"/>
        <w:jc w:val="both"/>
        <w:rPr>
          <w:b/>
          <w:bCs/>
        </w:rPr>
      </w:pPr>
      <w:r w:rsidRPr="00EB699A">
        <w:rPr>
          <w:b/>
          <w:bCs/>
          <w:i/>
          <w:iCs/>
        </w:rPr>
        <w:t>During a trial</w:t>
      </w:r>
    </w:p>
    <w:p w14:paraId="2FCC2DB0" w14:textId="0BDAE190" w:rsidR="00305923" w:rsidRPr="00280CE8" w:rsidRDefault="006C348C" w:rsidP="000634EE">
      <w:pPr>
        <w:pStyle w:val="BodyText"/>
        <w:spacing w:after="0" w:line="264" w:lineRule="auto"/>
        <w:jc w:val="both"/>
        <w:rPr>
          <w:sz w:val="23"/>
          <w:szCs w:val="23"/>
        </w:rPr>
      </w:pPr>
      <w:r w:rsidRPr="00280CE8">
        <w:rPr>
          <w:sz w:val="23"/>
          <w:szCs w:val="23"/>
        </w:rPr>
        <w:t xml:space="preserve">The </w:t>
      </w:r>
      <w:r w:rsidR="00AA1539" w:rsidRPr="00280CE8">
        <w:rPr>
          <w:sz w:val="23"/>
          <w:szCs w:val="23"/>
        </w:rPr>
        <w:t>C</w:t>
      </w:r>
      <w:r w:rsidRPr="00280CE8">
        <w:rPr>
          <w:sz w:val="23"/>
          <w:szCs w:val="23"/>
        </w:rPr>
        <w:t xml:space="preserve">ourt appreciates the work demands on advocates </w:t>
      </w:r>
      <w:r w:rsidR="00125E69" w:rsidRPr="00280CE8">
        <w:rPr>
          <w:sz w:val="23"/>
          <w:szCs w:val="23"/>
        </w:rPr>
        <w:t>engaged in a trial, particularly a trial of any length</w:t>
      </w:r>
      <w:r w:rsidRPr="00280CE8">
        <w:rPr>
          <w:sz w:val="23"/>
          <w:szCs w:val="23"/>
        </w:rPr>
        <w:t>.</w:t>
      </w:r>
      <w:r w:rsidR="00125E69" w:rsidRPr="00280CE8">
        <w:rPr>
          <w:sz w:val="23"/>
          <w:szCs w:val="23"/>
        </w:rPr>
        <w:t xml:space="preserve">  Where possible, </w:t>
      </w:r>
      <w:r w:rsidR="00373392" w:rsidRPr="00280CE8">
        <w:rPr>
          <w:sz w:val="23"/>
          <w:szCs w:val="23"/>
        </w:rPr>
        <w:t xml:space="preserve">a judge will try to </w:t>
      </w:r>
      <w:r w:rsidR="00F256CA" w:rsidRPr="00280CE8">
        <w:rPr>
          <w:sz w:val="23"/>
          <w:szCs w:val="23"/>
        </w:rPr>
        <w:t xml:space="preserve">build into the working day </w:t>
      </w:r>
      <w:r w:rsidR="008D4DD3" w:rsidRPr="00280CE8">
        <w:rPr>
          <w:sz w:val="23"/>
          <w:szCs w:val="23"/>
        </w:rPr>
        <w:t xml:space="preserve">some time for the advocates to consider and respond to documents produced by the judge, for example, </w:t>
      </w:r>
      <w:r w:rsidR="00531BF9" w:rsidRPr="00280CE8">
        <w:rPr>
          <w:sz w:val="23"/>
          <w:szCs w:val="23"/>
        </w:rPr>
        <w:t>written directions for the jury or a route to verdict.</w:t>
      </w:r>
      <w:r w:rsidR="00393E4C" w:rsidRPr="00280CE8">
        <w:rPr>
          <w:sz w:val="23"/>
          <w:szCs w:val="23"/>
        </w:rPr>
        <w:t xml:space="preserve">  This is more easily achieved when the judge has other </w:t>
      </w:r>
      <w:r w:rsidR="00334D4E" w:rsidRPr="00280CE8">
        <w:rPr>
          <w:sz w:val="23"/>
          <w:szCs w:val="23"/>
        </w:rPr>
        <w:t>work that can be scheduled either at</w:t>
      </w:r>
      <w:r w:rsidR="00373392" w:rsidRPr="00280CE8">
        <w:rPr>
          <w:sz w:val="23"/>
          <w:szCs w:val="23"/>
        </w:rPr>
        <w:t xml:space="preserve"> the start or </w:t>
      </w:r>
      <w:r w:rsidR="00334D4E" w:rsidRPr="00280CE8">
        <w:rPr>
          <w:sz w:val="23"/>
          <w:szCs w:val="23"/>
        </w:rPr>
        <w:t xml:space="preserve">towards the </w:t>
      </w:r>
      <w:r w:rsidR="00373392" w:rsidRPr="00280CE8">
        <w:rPr>
          <w:sz w:val="23"/>
          <w:szCs w:val="23"/>
        </w:rPr>
        <w:t xml:space="preserve">end of the </w:t>
      </w:r>
      <w:r w:rsidR="00334D4E" w:rsidRPr="00280CE8">
        <w:rPr>
          <w:sz w:val="23"/>
          <w:szCs w:val="23"/>
        </w:rPr>
        <w:t xml:space="preserve">sitting day.  </w:t>
      </w:r>
      <w:r w:rsidR="00943B84" w:rsidRPr="00280CE8">
        <w:rPr>
          <w:sz w:val="23"/>
          <w:szCs w:val="23"/>
        </w:rPr>
        <w:t xml:space="preserve">It </w:t>
      </w:r>
      <w:r w:rsidR="00C25996" w:rsidRPr="00280CE8">
        <w:rPr>
          <w:sz w:val="23"/>
          <w:szCs w:val="23"/>
        </w:rPr>
        <w:t xml:space="preserve">should be noted that it </w:t>
      </w:r>
      <w:r w:rsidR="00943B84" w:rsidRPr="00280CE8">
        <w:rPr>
          <w:sz w:val="23"/>
          <w:szCs w:val="23"/>
        </w:rPr>
        <w:t xml:space="preserve">may be less achievable </w:t>
      </w:r>
      <w:r w:rsidR="000932E0" w:rsidRPr="00280CE8">
        <w:rPr>
          <w:sz w:val="23"/>
          <w:szCs w:val="23"/>
        </w:rPr>
        <w:t>with fee-paid judges/recorders</w:t>
      </w:r>
      <w:r w:rsidR="007514F4" w:rsidRPr="00280CE8">
        <w:rPr>
          <w:sz w:val="23"/>
          <w:szCs w:val="23"/>
        </w:rPr>
        <w:t xml:space="preserve"> when the pressure to conclude the </w:t>
      </w:r>
      <w:r w:rsidR="00373392" w:rsidRPr="00280CE8">
        <w:rPr>
          <w:sz w:val="23"/>
          <w:szCs w:val="23"/>
        </w:rPr>
        <w:t xml:space="preserve">trial </w:t>
      </w:r>
      <w:r w:rsidR="007514F4" w:rsidRPr="00280CE8">
        <w:rPr>
          <w:sz w:val="23"/>
          <w:szCs w:val="23"/>
        </w:rPr>
        <w:t>within a f</w:t>
      </w:r>
      <w:r w:rsidR="00C25996" w:rsidRPr="00280CE8">
        <w:rPr>
          <w:sz w:val="23"/>
          <w:szCs w:val="23"/>
        </w:rPr>
        <w:t>i</w:t>
      </w:r>
      <w:r w:rsidR="007514F4" w:rsidRPr="00280CE8">
        <w:rPr>
          <w:sz w:val="23"/>
          <w:szCs w:val="23"/>
        </w:rPr>
        <w:t xml:space="preserve">xed window may have to </w:t>
      </w:r>
      <w:r w:rsidR="00C25996" w:rsidRPr="00280CE8">
        <w:rPr>
          <w:sz w:val="23"/>
          <w:szCs w:val="23"/>
        </w:rPr>
        <w:t>be prioritised</w:t>
      </w:r>
      <w:r w:rsidR="007514F4" w:rsidRPr="00280CE8">
        <w:rPr>
          <w:sz w:val="23"/>
          <w:szCs w:val="23"/>
        </w:rPr>
        <w:t>.</w:t>
      </w:r>
      <w:r w:rsidR="00373392" w:rsidRPr="00280CE8">
        <w:rPr>
          <w:sz w:val="23"/>
          <w:szCs w:val="23"/>
        </w:rPr>
        <w:t xml:space="preserve"> </w:t>
      </w:r>
    </w:p>
    <w:p w14:paraId="335BDEEB" w14:textId="77777777" w:rsidR="007967D4" w:rsidRDefault="007967D4" w:rsidP="000634EE">
      <w:pPr>
        <w:pStyle w:val="BodyText"/>
        <w:spacing w:after="0" w:line="264" w:lineRule="auto"/>
        <w:jc w:val="both"/>
        <w:rPr>
          <w:i/>
          <w:iCs/>
        </w:rPr>
      </w:pPr>
    </w:p>
    <w:p w14:paraId="73ACC156" w14:textId="2AF34155" w:rsidR="00A5756D" w:rsidRPr="00EB699A" w:rsidRDefault="00311530" w:rsidP="000634EE">
      <w:pPr>
        <w:pStyle w:val="BodyText"/>
        <w:spacing w:after="0" w:line="264" w:lineRule="auto"/>
        <w:jc w:val="both"/>
        <w:rPr>
          <w:b/>
          <w:bCs/>
          <w:i/>
          <w:iCs/>
        </w:rPr>
      </w:pPr>
      <w:r w:rsidRPr="00EB699A">
        <w:rPr>
          <w:b/>
          <w:bCs/>
          <w:i/>
          <w:iCs/>
        </w:rPr>
        <w:t>Direct emails</w:t>
      </w:r>
      <w:r w:rsidR="00EB699A">
        <w:rPr>
          <w:b/>
          <w:bCs/>
          <w:i/>
          <w:iCs/>
        </w:rPr>
        <w:t xml:space="preserve"> to judges</w:t>
      </w:r>
    </w:p>
    <w:p w14:paraId="48EEFDF7" w14:textId="71836FF5" w:rsidR="00990724" w:rsidRPr="00280CE8" w:rsidRDefault="00AD6B0B" w:rsidP="000634EE">
      <w:pPr>
        <w:pStyle w:val="BodyText"/>
        <w:spacing w:after="0" w:line="264" w:lineRule="auto"/>
        <w:jc w:val="both"/>
        <w:rPr>
          <w:sz w:val="23"/>
          <w:szCs w:val="23"/>
        </w:rPr>
      </w:pPr>
      <w:r w:rsidRPr="00280CE8">
        <w:rPr>
          <w:sz w:val="23"/>
          <w:szCs w:val="23"/>
        </w:rPr>
        <w:t>Advocates should avoid emailing judges directly unless the judge has consented to this in advance</w:t>
      </w:r>
      <w:r w:rsidR="00CE2D18" w:rsidRPr="00280CE8">
        <w:rPr>
          <w:sz w:val="23"/>
          <w:szCs w:val="23"/>
        </w:rPr>
        <w:t xml:space="preserve"> in a particular case.  </w:t>
      </w:r>
      <w:r w:rsidR="005745B2" w:rsidRPr="00280CE8">
        <w:rPr>
          <w:sz w:val="23"/>
          <w:szCs w:val="23"/>
        </w:rPr>
        <w:t>W</w:t>
      </w:r>
      <w:r w:rsidR="00B1071B" w:rsidRPr="00280CE8">
        <w:rPr>
          <w:sz w:val="23"/>
          <w:szCs w:val="23"/>
        </w:rPr>
        <w:t>ith the obvious exception of highly urgent</w:t>
      </w:r>
      <w:r w:rsidR="00E72C45" w:rsidRPr="00280CE8">
        <w:rPr>
          <w:sz w:val="23"/>
          <w:szCs w:val="23"/>
        </w:rPr>
        <w:t xml:space="preserve"> matters</w:t>
      </w:r>
      <w:r w:rsidR="00D33E20" w:rsidRPr="00280CE8">
        <w:rPr>
          <w:sz w:val="23"/>
          <w:szCs w:val="23"/>
        </w:rPr>
        <w:t xml:space="preserve"> or </w:t>
      </w:r>
      <w:r w:rsidR="00361B9B" w:rsidRPr="00280CE8">
        <w:rPr>
          <w:sz w:val="23"/>
          <w:szCs w:val="23"/>
        </w:rPr>
        <w:t xml:space="preserve">where specifically </w:t>
      </w:r>
      <w:r w:rsidR="00B02970" w:rsidRPr="00280CE8">
        <w:rPr>
          <w:sz w:val="23"/>
          <w:szCs w:val="23"/>
        </w:rPr>
        <w:t xml:space="preserve">agreed </w:t>
      </w:r>
      <w:r w:rsidR="00C040D6" w:rsidRPr="00280CE8">
        <w:rPr>
          <w:sz w:val="23"/>
          <w:szCs w:val="23"/>
        </w:rPr>
        <w:t>in advance for good reason</w:t>
      </w:r>
      <w:r w:rsidR="00E72C45" w:rsidRPr="00280CE8">
        <w:rPr>
          <w:sz w:val="23"/>
          <w:szCs w:val="23"/>
        </w:rPr>
        <w:t>, w</w:t>
      </w:r>
      <w:r w:rsidR="005745B2" w:rsidRPr="00280CE8">
        <w:rPr>
          <w:sz w:val="23"/>
          <w:szCs w:val="23"/>
        </w:rPr>
        <w:t xml:space="preserve">hen sending emails to advocates, judges do not expect </w:t>
      </w:r>
      <w:r w:rsidR="001B0EE5" w:rsidRPr="00280CE8">
        <w:rPr>
          <w:sz w:val="23"/>
          <w:szCs w:val="23"/>
        </w:rPr>
        <w:t>a response</w:t>
      </w:r>
      <w:r w:rsidR="00E72C45" w:rsidRPr="00280CE8">
        <w:rPr>
          <w:sz w:val="23"/>
          <w:szCs w:val="23"/>
        </w:rPr>
        <w:t xml:space="preserve"> outside of working hours; nor should advocates expect that emails sent out of hours will necessarily be read by a judge before the </w:t>
      </w:r>
      <w:r w:rsidR="00D33E20" w:rsidRPr="00280CE8">
        <w:rPr>
          <w:sz w:val="23"/>
          <w:szCs w:val="23"/>
        </w:rPr>
        <w:t>start of the next working day.</w:t>
      </w:r>
      <w:r w:rsidR="00C67263" w:rsidRPr="00280CE8">
        <w:rPr>
          <w:sz w:val="23"/>
          <w:szCs w:val="23"/>
        </w:rPr>
        <w:t xml:space="preserve">  </w:t>
      </w:r>
      <w:r w:rsidR="008733A6" w:rsidRPr="00280CE8">
        <w:rPr>
          <w:sz w:val="23"/>
          <w:szCs w:val="23"/>
        </w:rPr>
        <w:t xml:space="preserve">Advocates can use the </w:t>
      </w:r>
      <w:r w:rsidR="009A4C11" w:rsidRPr="00280CE8">
        <w:rPr>
          <w:sz w:val="23"/>
          <w:szCs w:val="23"/>
        </w:rPr>
        <w:t>Notes</w:t>
      </w:r>
      <w:r w:rsidR="008733A6" w:rsidRPr="00280CE8">
        <w:rPr>
          <w:sz w:val="23"/>
          <w:szCs w:val="23"/>
        </w:rPr>
        <w:t xml:space="preserve"> facility on DCS </w:t>
      </w:r>
      <w:r w:rsidR="006C16EB" w:rsidRPr="00280CE8">
        <w:rPr>
          <w:sz w:val="23"/>
          <w:szCs w:val="23"/>
        </w:rPr>
        <w:t>to</w:t>
      </w:r>
      <w:r w:rsidR="008733A6" w:rsidRPr="00280CE8">
        <w:rPr>
          <w:sz w:val="23"/>
          <w:szCs w:val="23"/>
        </w:rPr>
        <w:t xml:space="preserve"> highlight a </w:t>
      </w:r>
      <w:r w:rsidR="0046685A" w:rsidRPr="00280CE8">
        <w:rPr>
          <w:sz w:val="23"/>
          <w:szCs w:val="23"/>
        </w:rPr>
        <w:t>note’s relevance by</w:t>
      </w:r>
      <w:r w:rsidR="008733A6" w:rsidRPr="00280CE8">
        <w:rPr>
          <w:sz w:val="23"/>
          <w:szCs w:val="23"/>
        </w:rPr>
        <w:t xml:space="preserve"> using the </w:t>
      </w:r>
      <w:r w:rsidR="00A45EBA" w:rsidRPr="00280CE8">
        <w:rPr>
          <w:sz w:val="23"/>
          <w:szCs w:val="23"/>
        </w:rPr>
        <w:t>‘</w:t>
      </w:r>
      <w:r w:rsidR="004542BC" w:rsidRPr="00280CE8">
        <w:rPr>
          <w:sz w:val="23"/>
          <w:szCs w:val="23"/>
        </w:rPr>
        <w:t>Update</w:t>
      </w:r>
      <w:r w:rsidR="00A45EBA" w:rsidRPr="00280CE8">
        <w:rPr>
          <w:sz w:val="23"/>
          <w:szCs w:val="23"/>
        </w:rPr>
        <w:t xml:space="preserve"> </w:t>
      </w:r>
      <w:r w:rsidR="004542BC" w:rsidRPr="00280CE8">
        <w:rPr>
          <w:sz w:val="23"/>
          <w:szCs w:val="23"/>
        </w:rPr>
        <w:t>T</w:t>
      </w:r>
      <w:r w:rsidR="00A45EBA" w:rsidRPr="00280CE8">
        <w:rPr>
          <w:sz w:val="23"/>
          <w:szCs w:val="23"/>
        </w:rPr>
        <w:t>ag</w:t>
      </w:r>
      <w:r w:rsidR="004542BC" w:rsidRPr="00280CE8">
        <w:rPr>
          <w:sz w:val="23"/>
          <w:szCs w:val="23"/>
        </w:rPr>
        <w:t>s</w:t>
      </w:r>
      <w:r w:rsidR="00A45EBA" w:rsidRPr="00280CE8">
        <w:rPr>
          <w:sz w:val="23"/>
          <w:szCs w:val="23"/>
        </w:rPr>
        <w:t>’ feature</w:t>
      </w:r>
      <w:r w:rsidR="004542BC" w:rsidRPr="00280CE8">
        <w:rPr>
          <w:rStyle w:val="FootnoteReference"/>
          <w:sz w:val="23"/>
          <w:szCs w:val="23"/>
        </w:rPr>
        <w:footnoteReference w:id="2"/>
      </w:r>
      <w:r w:rsidR="004542BC" w:rsidRPr="00280CE8">
        <w:rPr>
          <w:sz w:val="23"/>
          <w:szCs w:val="23"/>
        </w:rPr>
        <w:t>.</w:t>
      </w:r>
      <w:r w:rsidR="00D44842">
        <w:rPr>
          <w:sz w:val="23"/>
          <w:szCs w:val="23"/>
        </w:rPr>
        <w:t xml:space="preserve">  Ne</w:t>
      </w:r>
      <w:r w:rsidR="00C14B23">
        <w:rPr>
          <w:sz w:val="23"/>
          <w:szCs w:val="23"/>
        </w:rPr>
        <w:t>wer cases now have a separate Advocates Placeholder page which can be used.</w:t>
      </w:r>
      <w:r w:rsidR="002F5746">
        <w:rPr>
          <w:sz w:val="23"/>
          <w:szCs w:val="23"/>
        </w:rPr>
        <w:t xml:space="preserve"> </w:t>
      </w:r>
    </w:p>
    <w:p w14:paraId="241A2A96" w14:textId="77777777" w:rsidR="007967D4" w:rsidRDefault="007967D4" w:rsidP="00A92882">
      <w:pPr>
        <w:pStyle w:val="BodyText"/>
        <w:spacing w:after="0" w:line="276" w:lineRule="auto"/>
        <w:jc w:val="both"/>
        <w:rPr>
          <w:i/>
          <w:iCs/>
        </w:rPr>
      </w:pPr>
    </w:p>
    <w:p w14:paraId="2A0B750B" w14:textId="04EA1AFE" w:rsidR="00B02970" w:rsidRPr="008E4A03" w:rsidRDefault="00B02970" w:rsidP="000634EE">
      <w:pPr>
        <w:pStyle w:val="BodyText"/>
        <w:spacing w:after="0" w:line="264" w:lineRule="auto"/>
        <w:jc w:val="both"/>
        <w:rPr>
          <w:b/>
          <w:bCs/>
          <w:i/>
          <w:iCs/>
        </w:rPr>
      </w:pPr>
      <w:r w:rsidRPr="008E4A03">
        <w:rPr>
          <w:b/>
          <w:bCs/>
          <w:i/>
          <w:iCs/>
        </w:rPr>
        <w:t>Telephone hearings</w:t>
      </w:r>
    </w:p>
    <w:p w14:paraId="6F910DDF" w14:textId="15779E87" w:rsidR="00B02970" w:rsidRDefault="00ED45BD" w:rsidP="000634EE">
      <w:pPr>
        <w:pStyle w:val="BodyText"/>
        <w:spacing w:after="0" w:line="264" w:lineRule="auto"/>
        <w:jc w:val="both"/>
        <w:rPr>
          <w:sz w:val="23"/>
          <w:szCs w:val="23"/>
        </w:rPr>
      </w:pPr>
      <w:r w:rsidRPr="008E4A03">
        <w:rPr>
          <w:sz w:val="23"/>
          <w:szCs w:val="23"/>
        </w:rPr>
        <w:t xml:space="preserve">The Court no longer </w:t>
      </w:r>
      <w:r w:rsidR="008E4A03">
        <w:rPr>
          <w:sz w:val="23"/>
          <w:szCs w:val="23"/>
        </w:rPr>
        <w:t>undertakes</w:t>
      </w:r>
      <w:r w:rsidRPr="008E4A03">
        <w:rPr>
          <w:sz w:val="23"/>
          <w:szCs w:val="23"/>
        </w:rPr>
        <w:t xml:space="preserve"> hearings by telephone.  For the avoidance of doubt</w:t>
      </w:r>
      <w:r w:rsidR="002F5F12" w:rsidRPr="008E4A03">
        <w:rPr>
          <w:sz w:val="23"/>
          <w:szCs w:val="23"/>
        </w:rPr>
        <w:t>,</w:t>
      </w:r>
      <w:r w:rsidRPr="008E4A03">
        <w:rPr>
          <w:sz w:val="23"/>
          <w:szCs w:val="23"/>
        </w:rPr>
        <w:t xml:space="preserve"> any </w:t>
      </w:r>
      <w:r w:rsidR="002F5F12" w:rsidRPr="008E4A03">
        <w:rPr>
          <w:sz w:val="23"/>
          <w:szCs w:val="23"/>
        </w:rPr>
        <w:t xml:space="preserve">pre-existing </w:t>
      </w:r>
      <w:r w:rsidRPr="008E4A03">
        <w:rPr>
          <w:sz w:val="23"/>
          <w:szCs w:val="23"/>
        </w:rPr>
        <w:t xml:space="preserve">directions given </w:t>
      </w:r>
      <w:r w:rsidR="00B11917" w:rsidRPr="008E4A03">
        <w:rPr>
          <w:sz w:val="23"/>
          <w:szCs w:val="23"/>
        </w:rPr>
        <w:t xml:space="preserve">for a telephone hearing should be </w:t>
      </w:r>
      <w:r w:rsidR="004C1C50" w:rsidRPr="008E4A03">
        <w:rPr>
          <w:sz w:val="23"/>
          <w:szCs w:val="23"/>
        </w:rPr>
        <w:t>treated as a direction for a hearing by CVP, unless the hearing is a pre-trial review, in which case</w:t>
      </w:r>
      <w:r w:rsidR="0002327E" w:rsidRPr="008E4A03">
        <w:rPr>
          <w:sz w:val="23"/>
          <w:szCs w:val="23"/>
        </w:rPr>
        <w:t xml:space="preserve"> attendance is directed in accordance with the relevant section in the table above.</w:t>
      </w:r>
    </w:p>
    <w:p w14:paraId="63DDD60E" w14:textId="77777777" w:rsidR="00A92882" w:rsidRDefault="00A92882" w:rsidP="000634EE">
      <w:pPr>
        <w:pStyle w:val="BodyText"/>
        <w:spacing w:after="0" w:line="264" w:lineRule="auto"/>
        <w:jc w:val="both"/>
        <w:rPr>
          <w:sz w:val="23"/>
          <w:szCs w:val="23"/>
        </w:rPr>
      </w:pPr>
    </w:p>
    <w:p w14:paraId="3B763CBA" w14:textId="784BFA69" w:rsidR="00A92882" w:rsidRPr="008113FB" w:rsidRDefault="008113FB" w:rsidP="000634EE">
      <w:pPr>
        <w:pStyle w:val="BodyText"/>
        <w:spacing w:after="0" w:line="264" w:lineRule="auto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Court User Group</w:t>
      </w:r>
    </w:p>
    <w:p w14:paraId="7B147CFD" w14:textId="3168AB77" w:rsidR="00DC24AD" w:rsidRDefault="00DC24AD" w:rsidP="000634EE">
      <w:pPr>
        <w:pStyle w:val="BodyText"/>
        <w:spacing w:after="0"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The Court User Group</w:t>
      </w:r>
      <w:r w:rsidR="00A72A5E">
        <w:rPr>
          <w:sz w:val="23"/>
          <w:szCs w:val="23"/>
        </w:rPr>
        <w:t xml:space="preserve"> meets</w:t>
      </w:r>
      <w:r w:rsidR="0099443A">
        <w:rPr>
          <w:sz w:val="23"/>
          <w:szCs w:val="23"/>
        </w:rPr>
        <w:t xml:space="preserve"> approximately quarterly.  </w:t>
      </w:r>
      <w:r w:rsidR="007954C6">
        <w:rPr>
          <w:sz w:val="23"/>
          <w:szCs w:val="23"/>
        </w:rPr>
        <w:t>The CPS is represented, as</w:t>
      </w:r>
      <w:r w:rsidR="00C74AB0">
        <w:rPr>
          <w:sz w:val="23"/>
          <w:szCs w:val="23"/>
        </w:rPr>
        <w:t xml:space="preserve"> are </w:t>
      </w:r>
      <w:r w:rsidR="005525DC">
        <w:rPr>
          <w:sz w:val="23"/>
          <w:szCs w:val="23"/>
        </w:rPr>
        <w:t xml:space="preserve">most </w:t>
      </w:r>
      <w:r w:rsidR="0048799E">
        <w:rPr>
          <w:sz w:val="23"/>
          <w:szCs w:val="23"/>
        </w:rPr>
        <w:t>CJS agencies.  T</w:t>
      </w:r>
      <w:r w:rsidR="0099443A">
        <w:rPr>
          <w:sz w:val="23"/>
          <w:szCs w:val="23"/>
        </w:rPr>
        <w:t xml:space="preserve">he defence community is equally welcome to attend and </w:t>
      </w:r>
      <w:r w:rsidR="00610D63">
        <w:rPr>
          <w:sz w:val="23"/>
          <w:szCs w:val="23"/>
        </w:rPr>
        <w:t xml:space="preserve">contribute to the </w:t>
      </w:r>
      <w:r w:rsidR="008113FB">
        <w:rPr>
          <w:sz w:val="23"/>
          <w:szCs w:val="23"/>
        </w:rPr>
        <w:t xml:space="preserve">discussions.  </w:t>
      </w:r>
    </w:p>
    <w:p w14:paraId="4ABCD1DE" w14:textId="77777777" w:rsidR="008113FB" w:rsidRDefault="008113FB" w:rsidP="000634EE">
      <w:pPr>
        <w:pStyle w:val="BodyText"/>
        <w:spacing w:after="0" w:line="264" w:lineRule="auto"/>
        <w:jc w:val="both"/>
        <w:rPr>
          <w:sz w:val="23"/>
          <w:szCs w:val="23"/>
        </w:rPr>
      </w:pPr>
    </w:p>
    <w:p w14:paraId="57B92262" w14:textId="4F7EA6A5" w:rsidR="008113FB" w:rsidRPr="00353365" w:rsidRDefault="004C0CC0" w:rsidP="000634EE">
      <w:pPr>
        <w:pStyle w:val="BodyText"/>
        <w:spacing w:after="0" w:line="264" w:lineRule="auto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Raising </w:t>
      </w:r>
      <w:r w:rsidR="000634EE">
        <w:rPr>
          <w:b/>
          <w:bCs/>
          <w:i/>
          <w:iCs/>
          <w:szCs w:val="24"/>
        </w:rPr>
        <w:t>concerns</w:t>
      </w:r>
    </w:p>
    <w:p w14:paraId="01A49537" w14:textId="3882A26E" w:rsidR="00B437A1" w:rsidRPr="008E4A03" w:rsidRDefault="008B0D42" w:rsidP="000634EE">
      <w:pPr>
        <w:pStyle w:val="BodyText"/>
        <w:spacing w:after="0"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Any issues arising from this guidance</w:t>
      </w:r>
      <w:r w:rsidR="004C0CC0">
        <w:rPr>
          <w:sz w:val="23"/>
          <w:szCs w:val="23"/>
        </w:rPr>
        <w:t>,</w:t>
      </w:r>
      <w:r>
        <w:rPr>
          <w:sz w:val="23"/>
          <w:szCs w:val="23"/>
        </w:rPr>
        <w:t xml:space="preserve"> or any matters that a legal professional wishes to raise about </w:t>
      </w:r>
      <w:r w:rsidR="004C0CC0">
        <w:rPr>
          <w:sz w:val="23"/>
          <w:szCs w:val="23"/>
        </w:rPr>
        <w:t xml:space="preserve">the functioning of the </w:t>
      </w:r>
      <w:r w:rsidR="00C77563">
        <w:rPr>
          <w:sz w:val="23"/>
          <w:szCs w:val="23"/>
        </w:rPr>
        <w:t>C</w:t>
      </w:r>
      <w:r w:rsidR="004C0CC0">
        <w:rPr>
          <w:sz w:val="23"/>
          <w:szCs w:val="23"/>
        </w:rPr>
        <w:t xml:space="preserve">ourt, should be </w:t>
      </w:r>
      <w:r w:rsidR="00126B48">
        <w:rPr>
          <w:sz w:val="23"/>
          <w:szCs w:val="23"/>
        </w:rPr>
        <w:t xml:space="preserve">brought to the attention of the Resident Judge, preferably by email </w:t>
      </w:r>
      <w:r w:rsidR="007C7BC7">
        <w:rPr>
          <w:sz w:val="23"/>
          <w:szCs w:val="23"/>
        </w:rPr>
        <w:t>to</w:t>
      </w:r>
      <w:r w:rsidR="00126B48">
        <w:rPr>
          <w:sz w:val="23"/>
          <w:szCs w:val="23"/>
        </w:rPr>
        <w:t xml:space="preserve"> hhj.michael.simon@ejudi</w:t>
      </w:r>
      <w:r w:rsidR="00595FA0">
        <w:rPr>
          <w:sz w:val="23"/>
          <w:szCs w:val="23"/>
        </w:rPr>
        <w:t>ciary.net.</w:t>
      </w:r>
    </w:p>
    <w:sectPr w:rsidR="00B437A1" w:rsidRPr="008E4A03" w:rsidSect="009E1FF3">
      <w:footerReference w:type="default" r:id="rId9"/>
      <w:footerReference w:type="first" r:id="rId10"/>
      <w:pgSz w:w="11906" w:h="16838" w:code="9"/>
      <w:pgMar w:top="568" w:right="737" w:bottom="1418" w:left="737" w:header="2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F48A" w14:textId="77777777" w:rsidR="003C6735" w:rsidRDefault="003C6735" w:rsidP="00DF6AA8">
      <w:pPr>
        <w:spacing w:after="0"/>
      </w:pPr>
      <w:r>
        <w:separator/>
      </w:r>
    </w:p>
  </w:endnote>
  <w:endnote w:type="continuationSeparator" w:id="0">
    <w:p w14:paraId="3529DAF0" w14:textId="77777777" w:rsidR="003C6735" w:rsidRDefault="003C6735" w:rsidP="00DF6A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D76E" w14:textId="05A849BD" w:rsidR="00000D23" w:rsidRDefault="00000D2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E682" w14:textId="20F9527F" w:rsidR="00546648" w:rsidRPr="00546648" w:rsidRDefault="00546648" w:rsidP="00580604">
    <w:pPr>
      <w:pStyle w:val="BodyText"/>
      <w:spacing w:after="0"/>
      <w:rPr>
        <w:color w:val="1F2446" w:themeColor="accent1"/>
      </w:rPr>
    </w:pPr>
    <w:r w:rsidRPr="00546648">
      <w:rPr>
        <w:b/>
        <w:bCs/>
      </w:rPr>
      <w:t xml:space="preserve">The </w:t>
    </w:r>
    <w:r w:rsidR="00610CC1">
      <w:rPr>
        <w:b/>
        <w:bCs/>
      </w:rPr>
      <w:t>Crown</w:t>
    </w:r>
    <w:r w:rsidRPr="00546648">
      <w:rPr>
        <w:b/>
        <w:bCs/>
      </w:rPr>
      <w:t xml:space="preserve"> Court</w:t>
    </w:r>
    <w:r w:rsidR="00610CC1">
      <w:rPr>
        <w:b/>
        <w:bCs/>
      </w:rPr>
      <w:t xml:space="preserve"> at Luton</w:t>
    </w:r>
    <w:r w:rsidRPr="00546648">
      <w:rPr>
        <w:b/>
        <w:bCs/>
      </w:rPr>
      <w:t>,</w:t>
    </w:r>
    <w:r>
      <w:t xml:space="preserve"> </w:t>
    </w:r>
    <w:r w:rsidR="00610CC1">
      <w:t>George Street</w:t>
    </w:r>
    <w:r>
      <w:t xml:space="preserve">, </w:t>
    </w:r>
    <w:r w:rsidR="00610CC1">
      <w:t>Luton</w:t>
    </w:r>
    <w:r>
      <w:t xml:space="preserve">, </w:t>
    </w:r>
    <w:r w:rsidR="00610CC1">
      <w:t>LU1</w:t>
    </w:r>
    <w:r>
      <w:t xml:space="preserve"> 2</w:t>
    </w:r>
    <w:r w:rsidR="00610CC1">
      <w:t>AA</w:t>
    </w:r>
    <w:r w:rsidR="00175D14">
      <w:rPr>
        <w:rStyle w:val="Hyperlink"/>
      </w:rPr>
      <w:tab/>
    </w:r>
    <w:r w:rsidR="00175D14">
      <w:rPr>
        <w:rStyle w:val="Hyperlink"/>
      </w:rPr>
      <w:tab/>
    </w:r>
    <w:r w:rsidR="00175D14">
      <w:rPr>
        <w:rStyle w:val="Hyperlink"/>
      </w:rPr>
      <w:tab/>
    </w:r>
    <w:r w:rsidR="00175D14">
      <w:rPr>
        <w:rStyle w:val="Hyperlink"/>
      </w:rPr>
      <w:tab/>
    </w:r>
    <w:r w:rsidR="00D81AC9">
      <w:rPr>
        <w:rStyle w:val="Hyperlink"/>
      </w:rPr>
      <w:t>JULY</w:t>
    </w:r>
    <w:r w:rsidR="00175D14">
      <w:rPr>
        <w:rStyle w:val="Hyperlink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1B9" w14:textId="77777777" w:rsidR="003C6735" w:rsidRDefault="003C6735" w:rsidP="00DF6AA8">
      <w:pPr>
        <w:spacing w:after="0"/>
      </w:pPr>
      <w:r>
        <w:separator/>
      </w:r>
    </w:p>
  </w:footnote>
  <w:footnote w:type="continuationSeparator" w:id="0">
    <w:p w14:paraId="7B2B6B8D" w14:textId="77777777" w:rsidR="003C6735" w:rsidRDefault="003C6735" w:rsidP="00DF6AA8">
      <w:pPr>
        <w:spacing w:after="0"/>
      </w:pPr>
      <w:r>
        <w:continuationSeparator/>
      </w:r>
    </w:p>
  </w:footnote>
  <w:footnote w:id="1">
    <w:p w14:paraId="7F409FF1" w14:textId="641EA501" w:rsidR="005E6082" w:rsidRPr="00D81AC9" w:rsidRDefault="005E6082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D81AC9">
        <w:rPr>
          <w:i/>
          <w:iCs/>
        </w:rPr>
        <w:t xml:space="preserve">The unavailability of </w:t>
      </w:r>
      <w:r w:rsidR="00A73E27" w:rsidRPr="00D81AC9">
        <w:rPr>
          <w:i/>
          <w:iCs/>
        </w:rPr>
        <w:t>advocates</w:t>
      </w:r>
      <w:r w:rsidRPr="00D81AC9">
        <w:rPr>
          <w:i/>
          <w:iCs/>
        </w:rPr>
        <w:t xml:space="preserve"> has </w:t>
      </w:r>
      <w:r w:rsidR="003A6340" w:rsidRPr="00D81AC9">
        <w:rPr>
          <w:i/>
          <w:iCs/>
        </w:rPr>
        <w:t>significantly</w:t>
      </w:r>
      <w:r w:rsidR="00FD4C66" w:rsidRPr="00D81AC9">
        <w:rPr>
          <w:i/>
          <w:iCs/>
        </w:rPr>
        <w:t xml:space="preserve"> impacted the number of</w:t>
      </w:r>
      <w:r w:rsidRPr="00D81AC9">
        <w:rPr>
          <w:i/>
          <w:iCs/>
        </w:rPr>
        <w:t xml:space="preserve"> warned list cases </w:t>
      </w:r>
      <w:r w:rsidR="00FD4C66" w:rsidRPr="00D81AC9">
        <w:rPr>
          <w:i/>
          <w:iCs/>
        </w:rPr>
        <w:t xml:space="preserve">that could be listed </w:t>
      </w:r>
      <w:r w:rsidR="0074316F" w:rsidRPr="00D81AC9">
        <w:rPr>
          <w:i/>
          <w:iCs/>
        </w:rPr>
        <w:t>over the last number of months.</w:t>
      </w:r>
    </w:p>
  </w:footnote>
  <w:footnote w:id="2">
    <w:p w14:paraId="0F072CA2" w14:textId="42AF8E59" w:rsidR="004542BC" w:rsidRDefault="004542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56835">
        <w:t xml:space="preserve">Click on ‘Update Tags’ and a small </w:t>
      </w:r>
      <w:proofErr w:type="spellStart"/>
      <w:r w:rsidR="00156835">
        <w:t>freetext</w:t>
      </w:r>
      <w:proofErr w:type="spellEnd"/>
      <w:r w:rsidR="00156835">
        <w:t xml:space="preserve"> box will</w:t>
      </w:r>
      <w:r w:rsidR="00F93D71">
        <w:t xml:space="preserve"> appear. Advocates can use this to identify a note for a specific </w:t>
      </w:r>
      <w:r w:rsidR="009917E7">
        <w:t xml:space="preserve">upcoming </w:t>
      </w:r>
      <w:r w:rsidR="00F93D71">
        <w:t xml:space="preserve">hearing or </w:t>
      </w:r>
      <w:r w:rsidR="009917E7">
        <w:t>more generally what a note relates to.</w:t>
      </w:r>
      <w:r w:rsidR="005A7216">
        <w:t xml:space="preserve"> More than one tag can be added to a note.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262B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76DE7E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886BF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D5FC9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E8252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670F5"/>
    <w:multiLevelType w:val="multilevel"/>
    <w:tmpl w:val="837EEF3C"/>
    <w:lvl w:ilvl="0">
      <w:start w:val="1"/>
      <w:numFmt w:val="decimal"/>
      <w:pStyle w:val="Heading1"/>
      <w:lvlText w:val="%1."/>
      <w:lvlJc w:val="left"/>
      <w:pPr>
        <w:ind w:left="624" w:hanging="624"/>
      </w:pPr>
      <w:rPr>
        <w:rFonts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Number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ListNumber2"/>
      <w:lvlText w:val="%1.%2.%3"/>
      <w:lvlJc w:val="left"/>
      <w:pPr>
        <w:ind w:left="107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71180363">
    <w:abstractNumId w:val="4"/>
  </w:num>
  <w:num w:numId="2" w16cid:durableId="856819671">
    <w:abstractNumId w:val="2"/>
  </w:num>
  <w:num w:numId="3" w16cid:durableId="1854225783">
    <w:abstractNumId w:val="3"/>
  </w:num>
  <w:num w:numId="4" w16cid:durableId="261644042">
    <w:abstractNumId w:val="0"/>
  </w:num>
  <w:num w:numId="5" w16cid:durableId="801773939">
    <w:abstractNumId w:val="5"/>
  </w:num>
  <w:num w:numId="6" w16cid:durableId="124392638">
    <w:abstractNumId w:val="1"/>
  </w:num>
  <w:num w:numId="7" w16cid:durableId="1205019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D6"/>
    <w:rsid w:val="00000D23"/>
    <w:rsid w:val="00006C1B"/>
    <w:rsid w:val="0001432C"/>
    <w:rsid w:val="000161C6"/>
    <w:rsid w:val="00020390"/>
    <w:rsid w:val="00021046"/>
    <w:rsid w:val="0002327E"/>
    <w:rsid w:val="00024B74"/>
    <w:rsid w:val="00037A0D"/>
    <w:rsid w:val="000404A7"/>
    <w:rsid w:val="000457CE"/>
    <w:rsid w:val="00045A33"/>
    <w:rsid w:val="0005296F"/>
    <w:rsid w:val="000537DC"/>
    <w:rsid w:val="000634EE"/>
    <w:rsid w:val="00083AE8"/>
    <w:rsid w:val="00092AFA"/>
    <w:rsid w:val="00092B5F"/>
    <w:rsid w:val="00092D3E"/>
    <w:rsid w:val="000932E0"/>
    <w:rsid w:val="00094660"/>
    <w:rsid w:val="000A0CF2"/>
    <w:rsid w:val="000A6F2B"/>
    <w:rsid w:val="000B36BA"/>
    <w:rsid w:val="000B6A15"/>
    <w:rsid w:val="000C77A8"/>
    <w:rsid w:val="000D12C1"/>
    <w:rsid w:val="000D3420"/>
    <w:rsid w:val="000E17DA"/>
    <w:rsid w:val="000E2F69"/>
    <w:rsid w:val="000E42D2"/>
    <w:rsid w:val="000F59D1"/>
    <w:rsid w:val="000F66F0"/>
    <w:rsid w:val="0011134C"/>
    <w:rsid w:val="00114286"/>
    <w:rsid w:val="0012265A"/>
    <w:rsid w:val="00125E69"/>
    <w:rsid w:val="00126B48"/>
    <w:rsid w:val="001514A1"/>
    <w:rsid w:val="00156835"/>
    <w:rsid w:val="00157AB0"/>
    <w:rsid w:val="001603CC"/>
    <w:rsid w:val="001616F4"/>
    <w:rsid w:val="00175D14"/>
    <w:rsid w:val="00177650"/>
    <w:rsid w:val="001804B7"/>
    <w:rsid w:val="0019106B"/>
    <w:rsid w:val="001926F3"/>
    <w:rsid w:val="001A2BDF"/>
    <w:rsid w:val="001A685F"/>
    <w:rsid w:val="001B0EE5"/>
    <w:rsid w:val="001B50A7"/>
    <w:rsid w:val="001B72FC"/>
    <w:rsid w:val="001B7F72"/>
    <w:rsid w:val="001C2713"/>
    <w:rsid w:val="001D0A54"/>
    <w:rsid w:val="001D152C"/>
    <w:rsid w:val="001D4A5A"/>
    <w:rsid w:val="001D4C10"/>
    <w:rsid w:val="001D5385"/>
    <w:rsid w:val="001F5FD7"/>
    <w:rsid w:val="00206B24"/>
    <w:rsid w:val="002073E6"/>
    <w:rsid w:val="0021085F"/>
    <w:rsid w:val="00211A6E"/>
    <w:rsid w:val="002133EE"/>
    <w:rsid w:val="00216417"/>
    <w:rsid w:val="00217F89"/>
    <w:rsid w:val="002265D9"/>
    <w:rsid w:val="00226870"/>
    <w:rsid w:val="00227BCA"/>
    <w:rsid w:val="00235DAE"/>
    <w:rsid w:val="00236EB1"/>
    <w:rsid w:val="002417BF"/>
    <w:rsid w:val="002511A9"/>
    <w:rsid w:val="00251235"/>
    <w:rsid w:val="00260B7D"/>
    <w:rsid w:val="00261131"/>
    <w:rsid w:val="0027295C"/>
    <w:rsid w:val="00276330"/>
    <w:rsid w:val="00276948"/>
    <w:rsid w:val="00276E15"/>
    <w:rsid w:val="0028057D"/>
    <w:rsid w:val="00280CE8"/>
    <w:rsid w:val="00284422"/>
    <w:rsid w:val="0029068E"/>
    <w:rsid w:val="00290C25"/>
    <w:rsid w:val="0029230E"/>
    <w:rsid w:val="00292693"/>
    <w:rsid w:val="002A152D"/>
    <w:rsid w:val="002A2195"/>
    <w:rsid w:val="002A64B0"/>
    <w:rsid w:val="002C33C4"/>
    <w:rsid w:val="002C40D7"/>
    <w:rsid w:val="002C41A9"/>
    <w:rsid w:val="002D16E0"/>
    <w:rsid w:val="002D74D7"/>
    <w:rsid w:val="002F4AC4"/>
    <w:rsid w:val="002F5746"/>
    <w:rsid w:val="002F5F12"/>
    <w:rsid w:val="002F6166"/>
    <w:rsid w:val="002F686F"/>
    <w:rsid w:val="002F774C"/>
    <w:rsid w:val="00305923"/>
    <w:rsid w:val="00310418"/>
    <w:rsid w:val="00311530"/>
    <w:rsid w:val="00317CE2"/>
    <w:rsid w:val="00320DE0"/>
    <w:rsid w:val="0032313D"/>
    <w:rsid w:val="003302D5"/>
    <w:rsid w:val="00334D4E"/>
    <w:rsid w:val="00342911"/>
    <w:rsid w:val="00353365"/>
    <w:rsid w:val="00357E2C"/>
    <w:rsid w:val="00361B9B"/>
    <w:rsid w:val="0036309F"/>
    <w:rsid w:val="00364380"/>
    <w:rsid w:val="00373392"/>
    <w:rsid w:val="00377754"/>
    <w:rsid w:val="00382A6E"/>
    <w:rsid w:val="00383D0D"/>
    <w:rsid w:val="003915AB"/>
    <w:rsid w:val="00393E4C"/>
    <w:rsid w:val="00395A63"/>
    <w:rsid w:val="00396BA0"/>
    <w:rsid w:val="003970FD"/>
    <w:rsid w:val="003A18AF"/>
    <w:rsid w:val="003A5CAE"/>
    <w:rsid w:val="003A6340"/>
    <w:rsid w:val="003B35E3"/>
    <w:rsid w:val="003C3806"/>
    <w:rsid w:val="003C62AD"/>
    <w:rsid w:val="003C6735"/>
    <w:rsid w:val="003E5295"/>
    <w:rsid w:val="003E6B3F"/>
    <w:rsid w:val="003F3535"/>
    <w:rsid w:val="00401B90"/>
    <w:rsid w:val="00410660"/>
    <w:rsid w:val="004122DC"/>
    <w:rsid w:val="00417C13"/>
    <w:rsid w:val="004208DC"/>
    <w:rsid w:val="00422331"/>
    <w:rsid w:val="00423B22"/>
    <w:rsid w:val="00423F53"/>
    <w:rsid w:val="00431247"/>
    <w:rsid w:val="00442DEE"/>
    <w:rsid w:val="00444131"/>
    <w:rsid w:val="0045177D"/>
    <w:rsid w:val="004542BC"/>
    <w:rsid w:val="00454391"/>
    <w:rsid w:val="004616CE"/>
    <w:rsid w:val="0046685A"/>
    <w:rsid w:val="00475A4A"/>
    <w:rsid w:val="0048799E"/>
    <w:rsid w:val="004931DD"/>
    <w:rsid w:val="004A3548"/>
    <w:rsid w:val="004A3EA4"/>
    <w:rsid w:val="004B26CE"/>
    <w:rsid w:val="004B6397"/>
    <w:rsid w:val="004B6DE5"/>
    <w:rsid w:val="004C0CC0"/>
    <w:rsid w:val="004C1C50"/>
    <w:rsid w:val="004E6D89"/>
    <w:rsid w:val="004F209D"/>
    <w:rsid w:val="004F70FB"/>
    <w:rsid w:val="0050108F"/>
    <w:rsid w:val="005013CF"/>
    <w:rsid w:val="0050493F"/>
    <w:rsid w:val="00506B4D"/>
    <w:rsid w:val="00507AEC"/>
    <w:rsid w:val="00524F10"/>
    <w:rsid w:val="0053185D"/>
    <w:rsid w:val="00531BF9"/>
    <w:rsid w:val="00540D53"/>
    <w:rsid w:val="00546648"/>
    <w:rsid w:val="00547655"/>
    <w:rsid w:val="00550446"/>
    <w:rsid w:val="005525DC"/>
    <w:rsid w:val="005657F8"/>
    <w:rsid w:val="00567A2C"/>
    <w:rsid w:val="00567B76"/>
    <w:rsid w:val="005745B2"/>
    <w:rsid w:val="005765FC"/>
    <w:rsid w:val="00580604"/>
    <w:rsid w:val="00580A98"/>
    <w:rsid w:val="005812CB"/>
    <w:rsid w:val="00593447"/>
    <w:rsid w:val="00595523"/>
    <w:rsid w:val="00595FA0"/>
    <w:rsid w:val="005A7216"/>
    <w:rsid w:val="005A7C8B"/>
    <w:rsid w:val="005B5CE5"/>
    <w:rsid w:val="005C1B77"/>
    <w:rsid w:val="005D2F90"/>
    <w:rsid w:val="005E1E9A"/>
    <w:rsid w:val="005E6082"/>
    <w:rsid w:val="005E745E"/>
    <w:rsid w:val="005F5313"/>
    <w:rsid w:val="005F56B1"/>
    <w:rsid w:val="005F6B71"/>
    <w:rsid w:val="0060105F"/>
    <w:rsid w:val="0060274A"/>
    <w:rsid w:val="006057DE"/>
    <w:rsid w:val="00610CC1"/>
    <w:rsid w:val="00610D63"/>
    <w:rsid w:val="00625D59"/>
    <w:rsid w:val="006278E9"/>
    <w:rsid w:val="00627CA8"/>
    <w:rsid w:val="0064406E"/>
    <w:rsid w:val="00646143"/>
    <w:rsid w:val="00651A22"/>
    <w:rsid w:val="006522F3"/>
    <w:rsid w:val="006532D9"/>
    <w:rsid w:val="00654A65"/>
    <w:rsid w:val="006678E0"/>
    <w:rsid w:val="0067398C"/>
    <w:rsid w:val="006767D3"/>
    <w:rsid w:val="00676A3E"/>
    <w:rsid w:val="006839F6"/>
    <w:rsid w:val="00695A5E"/>
    <w:rsid w:val="00695ACE"/>
    <w:rsid w:val="006A42F7"/>
    <w:rsid w:val="006C16EB"/>
    <w:rsid w:val="006C348C"/>
    <w:rsid w:val="006C4E72"/>
    <w:rsid w:val="006D0CD7"/>
    <w:rsid w:val="006D5B63"/>
    <w:rsid w:val="006E0A68"/>
    <w:rsid w:val="006E2B60"/>
    <w:rsid w:val="006E5FC7"/>
    <w:rsid w:val="006E723C"/>
    <w:rsid w:val="006F2F7A"/>
    <w:rsid w:val="006F5454"/>
    <w:rsid w:val="0070061E"/>
    <w:rsid w:val="00701AB2"/>
    <w:rsid w:val="007151D9"/>
    <w:rsid w:val="00716989"/>
    <w:rsid w:val="00724DBF"/>
    <w:rsid w:val="00732170"/>
    <w:rsid w:val="0074050B"/>
    <w:rsid w:val="007407F2"/>
    <w:rsid w:val="00741BF7"/>
    <w:rsid w:val="0074316F"/>
    <w:rsid w:val="0074433E"/>
    <w:rsid w:val="00745D1A"/>
    <w:rsid w:val="007514F4"/>
    <w:rsid w:val="0075624B"/>
    <w:rsid w:val="0077529F"/>
    <w:rsid w:val="00777D08"/>
    <w:rsid w:val="00793085"/>
    <w:rsid w:val="007933B3"/>
    <w:rsid w:val="00793B4C"/>
    <w:rsid w:val="007954C6"/>
    <w:rsid w:val="007967D4"/>
    <w:rsid w:val="007A1A56"/>
    <w:rsid w:val="007C077A"/>
    <w:rsid w:val="007C1C27"/>
    <w:rsid w:val="007C7BC7"/>
    <w:rsid w:val="007D5525"/>
    <w:rsid w:val="007E24F2"/>
    <w:rsid w:val="007E39AC"/>
    <w:rsid w:val="007F0C08"/>
    <w:rsid w:val="007F1E36"/>
    <w:rsid w:val="007F5D54"/>
    <w:rsid w:val="008113FB"/>
    <w:rsid w:val="00817684"/>
    <w:rsid w:val="00830DD5"/>
    <w:rsid w:val="008331B7"/>
    <w:rsid w:val="00835A8A"/>
    <w:rsid w:val="00841059"/>
    <w:rsid w:val="00843B63"/>
    <w:rsid w:val="00846E2D"/>
    <w:rsid w:val="008624BE"/>
    <w:rsid w:val="00870254"/>
    <w:rsid w:val="008733A6"/>
    <w:rsid w:val="008A2E90"/>
    <w:rsid w:val="008A72E2"/>
    <w:rsid w:val="008B0D42"/>
    <w:rsid w:val="008B4E21"/>
    <w:rsid w:val="008B56FE"/>
    <w:rsid w:val="008C38F5"/>
    <w:rsid w:val="008C48EA"/>
    <w:rsid w:val="008D3085"/>
    <w:rsid w:val="008D4DD3"/>
    <w:rsid w:val="008E4A03"/>
    <w:rsid w:val="008F1653"/>
    <w:rsid w:val="00901126"/>
    <w:rsid w:val="009125D7"/>
    <w:rsid w:val="00923592"/>
    <w:rsid w:val="00924120"/>
    <w:rsid w:val="009302DD"/>
    <w:rsid w:val="00943B84"/>
    <w:rsid w:val="00950BC2"/>
    <w:rsid w:val="009529F6"/>
    <w:rsid w:val="00956E4F"/>
    <w:rsid w:val="009571F9"/>
    <w:rsid w:val="009666DB"/>
    <w:rsid w:val="00974D1C"/>
    <w:rsid w:val="00990724"/>
    <w:rsid w:val="00990CEF"/>
    <w:rsid w:val="009917E7"/>
    <w:rsid w:val="00992AF8"/>
    <w:rsid w:val="0099443A"/>
    <w:rsid w:val="009946D0"/>
    <w:rsid w:val="009A1B9A"/>
    <w:rsid w:val="009A2353"/>
    <w:rsid w:val="009A2B8A"/>
    <w:rsid w:val="009A4C11"/>
    <w:rsid w:val="009A555C"/>
    <w:rsid w:val="009B6620"/>
    <w:rsid w:val="009B7AED"/>
    <w:rsid w:val="009C0136"/>
    <w:rsid w:val="009D0E57"/>
    <w:rsid w:val="009E1FF3"/>
    <w:rsid w:val="009F30C0"/>
    <w:rsid w:val="00A0126F"/>
    <w:rsid w:val="00A0471C"/>
    <w:rsid w:val="00A05EA5"/>
    <w:rsid w:val="00A17D84"/>
    <w:rsid w:val="00A26C31"/>
    <w:rsid w:val="00A3241A"/>
    <w:rsid w:val="00A334C4"/>
    <w:rsid w:val="00A41DAA"/>
    <w:rsid w:val="00A45EBA"/>
    <w:rsid w:val="00A54572"/>
    <w:rsid w:val="00A55B88"/>
    <w:rsid w:val="00A5756D"/>
    <w:rsid w:val="00A63003"/>
    <w:rsid w:val="00A70E58"/>
    <w:rsid w:val="00A72A5E"/>
    <w:rsid w:val="00A72B9A"/>
    <w:rsid w:val="00A73E27"/>
    <w:rsid w:val="00A75BC5"/>
    <w:rsid w:val="00A81E76"/>
    <w:rsid w:val="00A8706B"/>
    <w:rsid w:val="00A91E90"/>
    <w:rsid w:val="00A92882"/>
    <w:rsid w:val="00A93605"/>
    <w:rsid w:val="00A94C92"/>
    <w:rsid w:val="00A94F2B"/>
    <w:rsid w:val="00AA1539"/>
    <w:rsid w:val="00AB0FDE"/>
    <w:rsid w:val="00AB2079"/>
    <w:rsid w:val="00AD6B0B"/>
    <w:rsid w:val="00AE667D"/>
    <w:rsid w:val="00AF10B2"/>
    <w:rsid w:val="00B02970"/>
    <w:rsid w:val="00B058F1"/>
    <w:rsid w:val="00B06ABE"/>
    <w:rsid w:val="00B1071B"/>
    <w:rsid w:val="00B11917"/>
    <w:rsid w:val="00B1328F"/>
    <w:rsid w:val="00B174CD"/>
    <w:rsid w:val="00B23487"/>
    <w:rsid w:val="00B24C98"/>
    <w:rsid w:val="00B25678"/>
    <w:rsid w:val="00B25FB4"/>
    <w:rsid w:val="00B261C9"/>
    <w:rsid w:val="00B27A52"/>
    <w:rsid w:val="00B3303E"/>
    <w:rsid w:val="00B40FC5"/>
    <w:rsid w:val="00B43369"/>
    <w:rsid w:val="00B437A1"/>
    <w:rsid w:val="00B46CBB"/>
    <w:rsid w:val="00B47E56"/>
    <w:rsid w:val="00B53E81"/>
    <w:rsid w:val="00B540BF"/>
    <w:rsid w:val="00B60A22"/>
    <w:rsid w:val="00B63560"/>
    <w:rsid w:val="00B67CC4"/>
    <w:rsid w:val="00B77966"/>
    <w:rsid w:val="00B80185"/>
    <w:rsid w:val="00B871C4"/>
    <w:rsid w:val="00B9435D"/>
    <w:rsid w:val="00B964C2"/>
    <w:rsid w:val="00B96EDE"/>
    <w:rsid w:val="00BA3629"/>
    <w:rsid w:val="00BB54D6"/>
    <w:rsid w:val="00BD3335"/>
    <w:rsid w:val="00BD5DC3"/>
    <w:rsid w:val="00BD62D2"/>
    <w:rsid w:val="00BD7096"/>
    <w:rsid w:val="00BE1366"/>
    <w:rsid w:val="00BE2F91"/>
    <w:rsid w:val="00BE567D"/>
    <w:rsid w:val="00BF4973"/>
    <w:rsid w:val="00BF622E"/>
    <w:rsid w:val="00C0103E"/>
    <w:rsid w:val="00C033C4"/>
    <w:rsid w:val="00C033E3"/>
    <w:rsid w:val="00C040D6"/>
    <w:rsid w:val="00C12219"/>
    <w:rsid w:val="00C14B23"/>
    <w:rsid w:val="00C16B19"/>
    <w:rsid w:val="00C22D00"/>
    <w:rsid w:val="00C23B7B"/>
    <w:rsid w:val="00C25996"/>
    <w:rsid w:val="00C26CC6"/>
    <w:rsid w:val="00C30590"/>
    <w:rsid w:val="00C30A6E"/>
    <w:rsid w:val="00C358D8"/>
    <w:rsid w:val="00C44A54"/>
    <w:rsid w:val="00C45DAA"/>
    <w:rsid w:val="00C55AB6"/>
    <w:rsid w:val="00C5671E"/>
    <w:rsid w:val="00C60A0D"/>
    <w:rsid w:val="00C60C00"/>
    <w:rsid w:val="00C62BFA"/>
    <w:rsid w:val="00C67263"/>
    <w:rsid w:val="00C672DB"/>
    <w:rsid w:val="00C74AB0"/>
    <w:rsid w:val="00C75B26"/>
    <w:rsid w:val="00C77163"/>
    <w:rsid w:val="00C77563"/>
    <w:rsid w:val="00C8078C"/>
    <w:rsid w:val="00C93AD3"/>
    <w:rsid w:val="00C94A48"/>
    <w:rsid w:val="00CA1729"/>
    <w:rsid w:val="00CA35EB"/>
    <w:rsid w:val="00CB4DDE"/>
    <w:rsid w:val="00CB7CC7"/>
    <w:rsid w:val="00CC3B92"/>
    <w:rsid w:val="00CD5A01"/>
    <w:rsid w:val="00CD5E62"/>
    <w:rsid w:val="00CD7250"/>
    <w:rsid w:val="00CD796D"/>
    <w:rsid w:val="00CE1B47"/>
    <w:rsid w:val="00CE2D18"/>
    <w:rsid w:val="00CF088B"/>
    <w:rsid w:val="00CF6CC8"/>
    <w:rsid w:val="00D01EC0"/>
    <w:rsid w:val="00D02EDF"/>
    <w:rsid w:val="00D06E83"/>
    <w:rsid w:val="00D07F42"/>
    <w:rsid w:val="00D14C48"/>
    <w:rsid w:val="00D15BFF"/>
    <w:rsid w:val="00D206D9"/>
    <w:rsid w:val="00D20C57"/>
    <w:rsid w:val="00D238FC"/>
    <w:rsid w:val="00D24CD0"/>
    <w:rsid w:val="00D33BEF"/>
    <w:rsid w:val="00D33E20"/>
    <w:rsid w:val="00D358C9"/>
    <w:rsid w:val="00D363CB"/>
    <w:rsid w:val="00D44842"/>
    <w:rsid w:val="00D44DC8"/>
    <w:rsid w:val="00D458BB"/>
    <w:rsid w:val="00D5124A"/>
    <w:rsid w:val="00D74C42"/>
    <w:rsid w:val="00D7611A"/>
    <w:rsid w:val="00D81AC9"/>
    <w:rsid w:val="00D8403E"/>
    <w:rsid w:val="00D87A33"/>
    <w:rsid w:val="00DA10C2"/>
    <w:rsid w:val="00DA1CAF"/>
    <w:rsid w:val="00DB3089"/>
    <w:rsid w:val="00DB573D"/>
    <w:rsid w:val="00DC24AD"/>
    <w:rsid w:val="00DD69B6"/>
    <w:rsid w:val="00DE703F"/>
    <w:rsid w:val="00DF6801"/>
    <w:rsid w:val="00DF6AA8"/>
    <w:rsid w:val="00E02715"/>
    <w:rsid w:val="00E035D2"/>
    <w:rsid w:val="00E144D1"/>
    <w:rsid w:val="00E17B9F"/>
    <w:rsid w:val="00E22F57"/>
    <w:rsid w:val="00E2768C"/>
    <w:rsid w:val="00E33242"/>
    <w:rsid w:val="00E339D7"/>
    <w:rsid w:val="00E405B0"/>
    <w:rsid w:val="00E44270"/>
    <w:rsid w:val="00E57DD5"/>
    <w:rsid w:val="00E6541B"/>
    <w:rsid w:val="00E67792"/>
    <w:rsid w:val="00E72C45"/>
    <w:rsid w:val="00E74362"/>
    <w:rsid w:val="00E77C1F"/>
    <w:rsid w:val="00E82229"/>
    <w:rsid w:val="00E82D56"/>
    <w:rsid w:val="00E83FEA"/>
    <w:rsid w:val="00E95193"/>
    <w:rsid w:val="00EA56AF"/>
    <w:rsid w:val="00EA5D80"/>
    <w:rsid w:val="00EA7457"/>
    <w:rsid w:val="00EB699A"/>
    <w:rsid w:val="00EC7942"/>
    <w:rsid w:val="00EC7F69"/>
    <w:rsid w:val="00ED3175"/>
    <w:rsid w:val="00ED45BD"/>
    <w:rsid w:val="00ED7EDC"/>
    <w:rsid w:val="00F02D23"/>
    <w:rsid w:val="00F03491"/>
    <w:rsid w:val="00F07943"/>
    <w:rsid w:val="00F256CA"/>
    <w:rsid w:val="00F309BF"/>
    <w:rsid w:val="00F31450"/>
    <w:rsid w:val="00F4063F"/>
    <w:rsid w:val="00F549A4"/>
    <w:rsid w:val="00F55A99"/>
    <w:rsid w:val="00F73055"/>
    <w:rsid w:val="00F74EAF"/>
    <w:rsid w:val="00F83C00"/>
    <w:rsid w:val="00F905A8"/>
    <w:rsid w:val="00F90A07"/>
    <w:rsid w:val="00F93D71"/>
    <w:rsid w:val="00F976BA"/>
    <w:rsid w:val="00FA1F12"/>
    <w:rsid w:val="00FB4610"/>
    <w:rsid w:val="00FB6521"/>
    <w:rsid w:val="00FB6BF6"/>
    <w:rsid w:val="00FC1174"/>
    <w:rsid w:val="00FD4C66"/>
    <w:rsid w:val="00FD5850"/>
    <w:rsid w:val="00FE16F5"/>
    <w:rsid w:val="00FE1F0C"/>
    <w:rsid w:val="00FE59DA"/>
    <w:rsid w:val="00FF0A93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512F1"/>
  <w15:chartTrackingRefBased/>
  <w15:docId w15:val="{DEE2FA0B-664E-48B5-A84C-9DC316D5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iPriority="9"/>
    <w:lsdException w:name="annotation reference" w:semiHidden="1"/>
    <w:lsdException w:name="line number" w:semiHidden="1"/>
    <w:lsdException w:name="page number" w:semiHidden="1" w:uiPriority="9"/>
    <w:lsdException w:name="endnote reference" w:uiPriority="9"/>
    <w:lsdException w:name="endnote text" w:uiPriority="9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" w:qFormat="1"/>
    <w:lsdException w:name="List Number" w:uiPriority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/>
    <w:lsdException w:name="List Bullet 3" w:uiPriority="1"/>
    <w:lsdException w:name="List Bullet 4" w:semiHidden="1"/>
    <w:lsdException w:name="List Bullet 5" w:semiHidden="1"/>
    <w:lsdException w:name="List Number 2" w:uiPriority="1"/>
    <w:lsdException w:name="List Number 3" w:semiHidden="1"/>
    <w:lsdException w:name="List Number 4" w:semiHidden="1"/>
    <w:lsdException w:name="List Number 5" w:semiHidden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1" w:qFormat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uiPriority="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uiPriority="9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9"/>
    <w:semiHidden/>
    <w:rsid w:val="009571F9"/>
    <w:pPr>
      <w:spacing w:after="240" w:line="240" w:lineRule="auto"/>
    </w:pPr>
    <w:rPr>
      <w:sz w:val="24"/>
    </w:rPr>
  </w:style>
  <w:style w:type="paragraph" w:styleId="Heading1">
    <w:name w:val="heading 1"/>
    <w:next w:val="BodyText"/>
    <w:link w:val="Heading1Char"/>
    <w:rsid w:val="00BF4973"/>
    <w:pPr>
      <w:keepNext/>
      <w:keepLines/>
      <w:numPr>
        <w:numId w:val="5"/>
      </w:numPr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color w:val="1F2446" w:themeColor="accent1"/>
      <w:sz w:val="32"/>
      <w:szCs w:val="32"/>
    </w:rPr>
  </w:style>
  <w:style w:type="paragraph" w:styleId="Heading2">
    <w:name w:val="heading 2"/>
    <w:basedOn w:val="Heading1"/>
    <w:next w:val="BodyText"/>
    <w:link w:val="Heading2Char"/>
    <w:rsid w:val="00BF4973"/>
    <w:pPr>
      <w:numPr>
        <w:numId w:val="0"/>
      </w:numPr>
      <w:spacing w:before="240"/>
      <w:ind w:left="624"/>
      <w:outlineLvl w:val="1"/>
    </w:pPr>
    <w:rPr>
      <w:color w:val="171A34" w:themeColor="accent1" w:themeShade="BF"/>
      <w:sz w:val="28"/>
      <w:szCs w:val="26"/>
    </w:rPr>
  </w:style>
  <w:style w:type="paragraph" w:styleId="Heading3">
    <w:name w:val="heading 3"/>
    <w:basedOn w:val="Heading1"/>
    <w:next w:val="BodyText"/>
    <w:link w:val="Heading3Char"/>
    <w:rsid w:val="00BF4973"/>
    <w:pPr>
      <w:numPr>
        <w:numId w:val="0"/>
      </w:numPr>
      <w:spacing w:before="240" w:after="0"/>
      <w:ind w:left="624"/>
      <w:outlineLvl w:val="2"/>
    </w:pPr>
    <w:rPr>
      <w:sz w:val="24"/>
      <w:szCs w:val="24"/>
    </w:rPr>
  </w:style>
  <w:style w:type="paragraph" w:styleId="Heading4">
    <w:name w:val="heading 4"/>
    <w:basedOn w:val="Heading1"/>
    <w:next w:val="BodyText"/>
    <w:link w:val="Heading4Char"/>
    <w:rsid w:val="00BF4973"/>
    <w:pPr>
      <w:numPr>
        <w:numId w:val="0"/>
      </w:numPr>
      <w:spacing w:before="240" w:after="0"/>
      <w:ind w:left="624"/>
      <w:outlineLvl w:val="3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6A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A8"/>
    <w:rPr>
      <w:rFonts w:ascii="Segoe UI" w:hAnsi="Segoe UI" w:cs="Segoe UI"/>
      <w:sz w:val="18"/>
      <w:szCs w:val="18"/>
    </w:rPr>
  </w:style>
  <w:style w:type="paragraph" w:styleId="Header">
    <w:name w:val="header"/>
    <w:link w:val="HeaderChar"/>
    <w:uiPriority w:val="9"/>
    <w:semiHidden/>
    <w:rsid w:val="00000D23"/>
    <w:pPr>
      <w:spacing w:after="0" w:line="240" w:lineRule="auto"/>
      <w:ind w:left="227"/>
      <w:jc w:val="center"/>
    </w:pPr>
    <w:rPr>
      <w:caps/>
      <w:sz w:val="24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9571F9"/>
    <w:rPr>
      <w:caps/>
      <w:sz w:val="24"/>
    </w:rPr>
  </w:style>
  <w:style w:type="paragraph" w:styleId="Footer">
    <w:name w:val="footer"/>
    <w:basedOn w:val="Header"/>
    <w:link w:val="FooterChar"/>
    <w:uiPriority w:val="9"/>
    <w:semiHidden/>
    <w:rsid w:val="00000D23"/>
    <w:pPr>
      <w:ind w:left="0"/>
    </w:pPr>
  </w:style>
  <w:style w:type="character" w:customStyle="1" w:styleId="FooterChar">
    <w:name w:val="Footer Char"/>
    <w:basedOn w:val="DefaultParagraphFont"/>
    <w:link w:val="Footer"/>
    <w:uiPriority w:val="9"/>
    <w:semiHidden/>
    <w:rsid w:val="009571F9"/>
    <w:rPr>
      <w:caps/>
      <w:sz w:val="24"/>
    </w:rPr>
  </w:style>
  <w:style w:type="paragraph" w:styleId="FootnoteText">
    <w:name w:val="footnote text"/>
    <w:basedOn w:val="BodyText"/>
    <w:link w:val="FootnoteTextChar"/>
    <w:uiPriority w:val="3"/>
    <w:rsid w:val="00094660"/>
    <w:pPr>
      <w:spacing w:after="40"/>
      <w:ind w:left="357" w:hanging="35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9571F9"/>
    <w:rPr>
      <w:sz w:val="20"/>
      <w:szCs w:val="20"/>
    </w:rPr>
  </w:style>
  <w:style w:type="character" w:styleId="FootnoteReference">
    <w:name w:val="footnote reference"/>
    <w:uiPriority w:val="9"/>
    <w:semiHidden/>
    <w:rsid w:val="00DF6AA8"/>
    <w:rPr>
      <w:vertAlign w:val="superscript"/>
    </w:rPr>
  </w:style>
  <w:style w:type="paragraph" w:styleId="Date">
    <w:name w:val="Date"/>
    <w:basedOn w:val="BodyText"/>
    <w:next w:val="BodyText"/>
    <w:link w:val="DateChar"/>
    <w:uiPriority w:val="9"/>
    <w:semiHidden/>
    <w:rsid w:val="00DB3089"/>
  </w:style>
  <w:style w:type="character" w:customStyle="1" w:styleId="DateChar">
    <w:name w:val="Date Char"/>
    <w:basedOn w:val="DefaultParagraphFont"/>
    <w:link w:val="Date"/>
    <w:uiPriority w:val="9"/>
    <w:semiHidden/>
    <w:rsid w:val="009571F9"/>
    <w:rPr>
      <w:sz w:val="24"/>
    </w:rPr>
  </w:style>
  <w:style w:type="character" w:customStyle="1" w:styleId="Heading1Char">
    <w:name w:val="Heading 1 Char"/>
    <w:basedOn w:val="DefaultParagraphFont"/>
    <w:link w:val="Heading1"/>
    <w:rsid w:val="00BF4973"/>
    <w:rPr>
      <w:rFonts w:asciiTheme="majorHAnsi" w:eastAsiaTheme="majorEastAsia" w:hAnsiTheme="majorHAnsi" w:cstheme="majorBidi"/>
      <w:b/>
      <w:color w:val="1F2446" w:themeColor="accent1"/>
      <w:sz w:val="32"/>
      <w:szCs w:val="32"/>
    </w:rPr>
  </w:style>
  <w:style w:type="paragraph" w:styleId="BodyText">
    <w:name w:val="Body Text"/>
    <w:link w:val="BodyTextChar"/>
    <w:uiPriority w:val="1"/>
    <w:qFormat/>
    <w:rsid w:val="00000D23"/>
    <w:pPr>
      <w:spacing w:after="240"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0D23"/>
    <w:rPr>
      <w:sz w:val="24"/>
    </w:rPr>
  </w:style>
  <w:style w:type="character" w:customStyle="1" w:styleId="Heading2Char">
    <w:name w:val="Heading 2 Char"/>
    <w:basedOn w:val="DefaultParagraphFont"/>
    <w:link w:val="Heading2"/>
    <w:rsid w:val="00BF4973"/>
    <w:rPr>
      <w:rFonts w:asciiTheme="majorHAnsi" w:eastAsiaTheme="majorEastAsia" w:hAnsiTheme="majorHAnsi" w:cstheme="majorBidi"/>
      <w:b/>
      <w:color w:val="171A34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BF4973"/>
    <w:rPr>
      <w:rFonts w:asciiTheme="majorHAnsi" w:eastAsiaTheme="majorEastAsia" w:hAnsiTheme="majorHAnsi" w:cstheme="majorBidi"/>
      <w:b/>
      <w:color w:val="1F244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4973"/>
    <w:rPr>
      <w:rFonts w:asciiTheme="majorHAnsi" w:eastAsiaTheme="majorEastAsia" w:hAnsiTheme="majorHAnsi" w:cstheme="majorBidi"/>
      <w:b/>
      <w:i/>
      <w:iCs/>
      <w:color w:val="1F2446" w:themeColor="accent1"/>
      <w:sz w:val="24"/>
      <w:szCs w:val="32"/>
    </w:rPr>
  </w:style>
  <w:style w:type="paragraph" w:customStyle="1" w:styleId="HeaderTitle">
    <w:name w:val="Header Title"/>
    <w:basedOn w:val="Header"/>
    <w:uiPriority w:val="9"/>
    <w:semiHidden/>
    <w:rsid w:val="00CD5A01"/>
    <w:pPr>
      <w:pBdr>
        <w:bottom w:val="single" w:sz="8" w:space="12" w:color="4EC0DA" w:themeColor="accent2"/>
      </w:pBdr>
      <w:spacing w:before="360"/>
      <w:ind w:left="0"/>
      <w:jc w:val="left"/>
    </w:pPr>
    <w:rPr>
      <w:b/>
      <w:bCs/>
      <w:caps w:val="0"/>
      <w:color w:val="1F2446" w:themeColor="accent1"/>
      <w:sz w:val="36"/>
      <w:szCs w:val="36"/>
    </w:rPr>
  </w:style>
  <w:style w:type="paragraph" w:styleId="ListNumber">
    <w:name w:val="List Number"/>
    <w:basedOn w:val="BodyText"/>
    <w:uiPriority w:val="1"/>
    <w:rsid w:val="00BF4973"/>
    <w:pPr>
      <w:numPr>
        <w:ilvl w:val="1"/>
        <w:numId w:val="5"/>
      </w:numPr>
    </w:pPr>
  </w:style>
  <w:style w:type="paragraph" w:styleId="ListBullet">
    <w:name w:val="List Bullet"/>
    <w:basedOn w:val="BodyText"/>
    <w:uiPriority w:val="2"/>
    <w:qFormat/>
    <w:rsid w:val="00BF4973"/>
    <w:pPr>
      <w:numPr>
        <w:numId w:val="1"/>
      </w:numPr>
      <w:ind w:left="981" w:hanging="357"/>
    </w:pPr>
  </w:style>
  <w:style w:type="paragraph" w:styleId="ListBullet2">
    <w:name w:val="List Bullet 2"/>
    <w:basedOn w:val="ListBullet"/>
    <w:uiPriority w:val="2"/>
    <w:rsid w:val="00BF4973"/>
    <w:pPr>
      <w:numPr>
        <w:numId w:val="2"/>
      </w:numPr>
      <w:ind w:left="1338" w:hanging="357"/>
    </w:pPr>
  </w:style>
  <w:style w:type="paragraph" w:styleId="ListBullet3">
    <w:name w:val="List Bullet 3"/>
    <w:basedOn w:val="ListBullet"/>
    <w:uiPriority w:val="2"/>
    <w:rsid w:val="00BF4973"/>
    <w:pPr>
      <w:numPr>
        <w:numId w:val="6"/>
      </w:numPr>
      <w:ind w:left="1695" w:hanging="357"/>
    </w:pPr>
  </w:style>
  <w:style w:type="paragraph" w:styleId="BodyTextIndent">
    <w:name w:val="Body Text Indent"/>
    <w:basedOn w:val="BodyText"/>
    <w:link w:val="BodyTextIndentChar"/>
    <w:uiPriority w:val="3"/>
    <w:rsid w:val="00094660"/>
    <w:pPr>
      <w:ind w:left="624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9571F9"/>
    <w:rPr>
      <w:sz w:val="24"/>
    </w:rPr>
  </w:style>
  <w:style w:type="paragraph" w:styleId="EndnoteText">
    <w:name w:val="endnote text"/>
    <w:basedOn w:val="FootnoteText"/>
    <w:link w:val="EndnoteTextChar"/>
    <w:uiPriority w:val="9"/>
    <w:semiHidden/>
    <w:rsid w:val="00094660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9571F9"/>
    <w:rPr>
      <w:sz w:val="20"/>
      <w:szCs w:val="20"/>
    </w:rPr>
  </w:style>
  <w:style w:type="character" w:styleId="EndnoteReference">
    <w:name w:val="endnote reference"/>
    <w:uiPriority w:val="9"/>
    <w:semiHidden/>
    <w:rsid w:val="00094660"/>
    <w:rPr>
      <w:vertAlign w:val="superscript"/>
    </w:rPr>
  </w:style>
  <w:style w:type="paragraph" w:styleId="ListNumber2">
    <w:name w:val="List Number 2"/>
    <w:basedOn w:val="BodyText"/>
    <w:uiPriority w:val="2"/>
    <w:unhideWhenUsed/>
    <w:rsid w:val="00094660"/>
    <w:pPr>
      <w:numPr>
        <w:ilvl w:val="2"/>
        <w:numId w:val="5"/>
      </w:numPr>
    </w:pPr>
  </w:style>
  <w:style w:type="paragraph" w:styleId="Title">
    <w:name w:val="Title"/>
    <w:basedOn w:val="BodyText"/>
    <w:next w:val="Subtitle"/>
    <w:link w:val="TitleChar"/>
    <w:uiPriority w:val="9"/>
    <w:semiHidden/>
    <w:rsid w:val="0001432C"/>
    <w:pPr>
      <w:spacing w:after="0"/>
    </w:pPr>
    <w:rPr>
      <w:b/>
      <w:bCs/>
      <w:color w:val="1F2446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"/>
    <w:semiHidden/>
    <w:rsid w:val="009571F9"/>
    <w:rPr>
      <w:b/>
      <w:bCs/>
      <w:color w:val="1F2446" w:themeColor="accent1"/>
      <w:sz w:val="48"/>
      <w:szCs w:val="48"/>
    </w:rPr>
  </w:style>
  <w:style w:type="paragraph" w:styleId="Subtitle">
    <w:name w:val="Subtitle"/>
    <w:basedOn w:val="BodyText"/>
    <w:next w:val="BodyText"/>
    <w:link w:val="SubtitleChar"/>
    <w:uiPriority w:val="9"/>
    <w:semiHidden/>
    <w:rsid w:val="0001432C"/>
    <w:pPr>
      <w:pBdr>
        <w:bottom w:val="single" w:sz="8" w:space="11" w:color="4EC0DA" w:themeColor="accent2"/>
      </w:pBdr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9571F9"/>
    <w:rPr>
      <w:sz w:val="40"/>
      <w:szCs w:val="40"/>
    </w:rPr>
  </w:style>
  <w:style w:type="table" w:styleId="TableGrid">
    <w:name w:val="Table Grid"/>
    <w:basedOn w:val="TableNormal"/>
    <w:uiPriority w:val="39"/>
    <w:rsid w:val="00F7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detailstable">
    <w:name w:val="Contact details table"/>
    <w:basedOn w:val="TableNormal"/>
    <w:uiPriority w:val="99"/>
    <w:rsid w:val="00F73055"/>
    <w:pPr>
      <w:spacing w:after="0" w:line="240" w:lineRule="auto"/>
    </w:pPr>
    <w:tblPr>
      <w:tblCellMar>
        <w:top w:w="14" w:type="dxa"/>
        <w:left w:w="0" w:type="dxa"/>
        <w:bottom w:w="14" w:type="dxa"/>
        <w:right w:w="0" w:type="dxa"/>
      </w:tblCellMar>
    </w:tblPr>
    <w:tblStylePr w:type="firstCol">
      <w:rPr>
        <w:b/>
      </w:rPr>
    </w:tblStylePr>
  </w:style>
  <w:style w:type="paragraph" w:customStyle="1" w:styleId="TableText">
    <w:name w:val="Table Text"/>
    <w:basedOn w:val="BodyText"/>
    <w:uiPriority w:val="2"/>
    <w:rsid w:val="00F73055"/>
    <w:pPr>
      <w:spacing w:after="0"/>
    </w:pPr>
  </w:style>
  <w:style w:type="table" w:customStyle="1" w:styleId="Actionlogtable">
    <w:name w:val="Action log table"/>
    <w:basedOn w:val="TableNormal"/>
    <w:uiPriority w:val="99"/>
    <w:rsid w:val="001514A1"/>
    <w:pPr>
      <w:spacing w:after="0" w:line="240" w:lineRule="auto"/>
    </w:pPr>
    <w:rPr>
      <w:sz w:val="24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113" w:type="dxa"/>
        <w:left w:w="142" w:type="dxa"/>
        <w:bottom w:w="113" w:type="dxa"/>
        <w:right w:w="142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BF2F8"/>
      </w:tcPr>
    </w:tblStylePr>
  </w:style>
  <w:style w:type="character" w:styleId="Hyperlink">
    <w:name w:val="Hyperlink"/>
    <w:uiPriority w:val="9"/>
    <w:rsid w:val="00546648"/>
    <w:rPr>
      <w:color w:val="1F2446" w:themeColor="hyperlink"/>
      <w:u w:val="none"/>
    </w:rPr>
  </w:style>
  <w:style w:type="character" w:styleId="FollowedHyperlink">
    <w:name w:val="FollowedHyperlink"/>
    <w:uiPriority w:val="9"/>
    <w:semiHidden/>
    <w:rsid w:val="00383D0D"/>
    <w:rPr>
      <w:color w:val="1F2446" w:themeColor="followedHyperlink"/>
      <w:u w:val="dotted"/>
    </w:rPr>
  </w:style>
  <w:style w:type="character" w:styleId="UnresolvedMention">
    <w:name w:val="Unresolved Mention"/>
    <w:basedOn w:val="DefaultParagraphFont"/>
    <w:uiPriority w:val="99"/>
    <w:semiHidden/>
    <w:rsid w:val="0054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Judiciar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F2446"/>
      </a:accent1>
      <a:accent2>
        <a:srgbClr val="4EC0DA"/>
      </a:accent2>
      <a:accent3>
        <a:srgbClr val="717070"/>
      </a:accent3>
      <a:accent4>
        <a:srgbClr val="8F1B1A"/>
      </a:accent4>
      <a:accent5>
        <a:srgbClr val="005A2E"/>
      </a:accent5>
      <a:accent6>
        <a:srgbClr val="61388E"/>
      </a:accent6>
      <a:hlink>
        <a:srgbClr val="1F2446"/>
      </a:hlink>
      <a:folHlink>
        <a:srgbClr val="1F2446"/>
      </a:folHlink>
    </a:clrScheme>
    <a:fontScheme name="Judici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E314-F3BB-47D1-B2D0-1B2C03A5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Judiciary letterhead template</vt:lpstr>
    </vt:vector>
  </TitlesOfParts>
  <Manager>Courts and Tribunals Judiciary</Manager>
  <Company>Courts and Tribunals Judiciary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Judiciary letterhead template</dc:title>
  <dc:subject>Judiciary letterhead template</dc:subject>
  <dc:creator>Courts and Tribunals Judiciary</dc:creator>
  <cp:keywords>Courts; Tribunals; Judiciary; letterhead</cp:keywords>
  <dc:description/>
  <cp:lastModifiedBy>Leon Kazakos KC</cp:lastModifiedBy>
  <cp:revision>3</cp:revision>
  <cp:lastPrinted>2023-06-19T08:54:00Z</cp:lastPrinted>
  <dcterms:created xsi:type="dcterms:W3CDTF">2023-07-02T15:25:00Z</dcterms:created>
  <dcterms:modified xsi:type="dcterms:W3CDTF">2023-07-02T15:26:00Z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2023-07-02T15:25:45Z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118168c2-9080-4f48-9e6d-7037fddf0925</vt:lpwstr>
  </property>
  <property fmtid="{D5CDD505-2E9C-101B-9397-08002B2CF9AE}" pid="7" name="MSIP_Label_defa4170-0d19-0005-0004-bc88714345d2_ActionId">
    <vt:lpwstr>fd3354cb-3d67-4156-a416-07937b676d02</vt:lpwstr>
  </property>
  <property fmtid="{D5CDD505-2E9C-101B-9397-08002B2CF9AE}" pid="8" name="MSIP_Label_defa4170-0d19-0005-0004-bc88714345d2_ContentBits">
    <vt:lpwstr>0</vt:lpwstr>
  </property>
</Properties>
</file>