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9039" w14:textId="77777777" w:rsidR="00911B31" w:rsidRPr="00E36AD0" w:rsidRDefault="00911B31" w:rsidP="00A4627E">
      <w:pPr>
        <w:rPr>
          <w:rFonts w:ascii="Garamond" w:hAnsi="Garamond"/>
          <w:b/>
          <w:i/>
          <w:sz w:val="28"/>
          <w:szCs w:val="28"/>
          <w:lang w:val="en-GB"/>
        </w:rPr>
      </w:pPr>
    </w:p>
    <w:p w14:paraId="2B2FC422" w14:textId="1DAA1220" w:rsidR="00911B31" w:rsidRPr="00E36AD0" w:rsidRDefault="00911B31" w:rsidP="00A4627E">
      <w:pPr>
        <w:rPr>
          <w:rFonts w:ascii="Garamond" w:hAnsi="Garamond"/>
          <w:b/>
          <w:i/>
          <w:sz w:val="28"/>
          <w:szCs w:val="28"/>
          <w:lang w:val="en-GB"/>
        </w:rPr>
      </w:pPr>
      <w:r w:rsidRPr="00E36AD0">
        <w:rPr>
          <w:rFonts w:ascii="Garamond" w:hAnsi="Garamond"/>
          <w:b/>
          <w:i/>
          <w:sz w:val="28"/>
          <w:szCs w:val="28"/>
          <w:lang w:val="en-GB"/>
        </w:rPr>
        <w:t xml:space="preserve">Guidance for </w:t>
      </w:r>
      <w:r w:rsidR="00E23D4D">
        <w:rPr>
          <w:rFonts w:ascii="Garamond" w:hAnsi="Garamond"/>
          <w:b/>
          <w:i/>
          <w:sz w:val="28"/>
          <w:szCs w:val="28"/>
          <w:lang w:val="en-GB"/>
        </w:rPr>
        <w:t>B</w:t>
      </w:r>
      <w:r w:rsidRPr="00E36AD0">
        <w:rPr>
          <w:rFonts w:ascii="Garamond" w:hAnsi="Garamond"/>
          <w:b/>
          <w:i/>
          <w:sz w:val="28"/>
          <w:szCs w:val="28"/>
          <w:lang w:val="en-GB"/>
        </w:rPr>
        <w:t xml:space="preserve">arristers facing prospect of a referral to the BSB due to non-attendance at court </w:t>
      </w:r>
      <w:r w:rsidR="005D3FE0">
        <w:rPr>
          <w:rFonts w:ascii="Garamond" w:hAnsi="Garamond"/>
          <w:b/>
          <w:i/>
          <w:sz w:val="28"/>
          <w:szCs w:val="28"/>
          <w:lang w:val="en-GB"/>
        </w:rPr>
        <w:t>due to non-availability</w:t>
      </w:r>
    </w:p>
    <w:p w14:paraId="628415B4" w14:textId="77777777" w:rsidR="00911B31" w:rsidRPr="00E36AD0" w:rsidRDefault="00911B31" w:rsidP="00A4627E">
      <w:pPr>
        <w:rPr>
          <w:rFonts w:ascii="Garamond" w:hAnsi="Garamond"/>
          <w:sz w:val="28"/>
          <w:szCs w:val="28"/>
          <w:lang w:val="en-GB"/>
        </w:rPr>
      </w:pPr>
    </w:p>
    <w:p w14:paraId="004193EE" w14:textId="77777777" w:rsidR="00911B31" w:rsidRPr="00E36AD0" w:rsidRDefault="00911B31" w:rsidP="00A4627E">
      <w:pPr>
        <w:jc w:val="both"/>
        <w:rPr>
          <w:rFonts w:ascii="Garamond" w:hAnsi="Garamond"/>
          <w:b/>
          <w:bCs/>
          <w:i/>
          <w:iCs/>
          <w:sz w:val="28"/>
          <w:szCs w:val="28"/>
          <w:lang w:val="en-GB"/>
        </w:rPr>
      </w:pPr>
      <w:r w:rsidRPr="00E36AD0">
        <w:rPr>
          <w:rFonts w:ascii="Garamond" w:hAnsi="Garamond"/>
          <w:b/>
          <w:bCs/>
          <w:i/>
          <w:iCs/>
          <w:sz w:val="28"/>
          <w:szCs w:val="28"/>
          <w:lang w:val="en-GB"/>
        </w:rPr>
        <w:t>What you should know</w:t>
      </w:r>
    </w:p>
    <w:p w14:paraId="6ED4B666" w14:textId="77777777" w:rsidR="00911B31" w:rsidRPr="00E36AD0" w:rsidRDefault="00911B31" w:rsidP="00A4627E">
      <w:pPr>
        <w:pStyle w:val="NormalWeb"/>
        <w:numPr>
          <w:ilvl w:val="0"/>
          <w:numId w:val="1"/>
        </w:numPr>
        <w:spacing w:after="150" w:afterAutospacing="0"/>
        <w:ind w:left="360"/>
        <w:jc w:val="both"/>
        <w:rPr>
          <w:rFonts w:ascii="Garamond" w:eastAsia="Times New Roman" w:hAnsi="Garamond"/>
          <w:color w:val="000000"/>
          <w:sz w:val="28"/>
          <w:szCs w:val="28"/>
        </w:rPr>
      </w:pPr>
      <w:r w:rsidRPr="00E36AD0">
        <w:rPr>
          <w:rFonts w:ascii="Garamond" w:hAnsi="Garamond"/>
          <w:sz w:val="28"/>
          <w:szCs w:val="28"/>
          <w:lang w:val="en-GB"/>
        </w:rPr>
        <w:t>Criminal barristers will be well aware of the Code of Conduct and the ten Core Duties:</w:t>
      </w:r>
    </w:p>
    <w:p w14:paraId="716655F3" w14:textId="77777777" w:rsidR="00911B31" w:rsidRPr="00E36AD0" w:rsidRDefault="00911B31" w:rsidP="00A4627E">
      <w:pPr>
        <w:pStyle w:val="NormalWeb"/>
        <w:spacing w:after="150" w:afterAutospacing="0"/>
        <w:ind w:left="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1: You must observe your duty to the court in the administration of justice.</w:t>
      </w:r>
    </w:p>
    <w:p w14:paraId="7DFC2CE8"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2: You must act in the best interests of each client.</w:t>
      </w:r>
    </w:p>
    <w:p w14:paraId="4E53B432"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3: You must act with honesty and integrity.</w:t>
      </w:r>
    </w:p>
    <w:p w14:paraId="7C34BC00"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4: You must maintain your independence.</w:t>
      </w:r>
    </w:p>
    <w:p w14:paraId="0E1D440A" w14:textId="77777777" w:rsidR="00911B31" w:rsidRPr="00E36AD0" w:rsidRDefault="00911B31" w:rsidP="00A4627E">
      <w:pPr>
        <w:spacing w:before="100" w:beforeAutospacing="1" w:after="150"/>
        <w:ind w:left="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5: You must not behave in a way which is likely to diminish the trust and confidence which the public places in you or in the profession.</w:t>
      </w:r>
    </w:p>
    <w:p w14:paraId="13C7E6D0"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6: You must keep the affairs of each client confidential.</w:t>
      </w:r>
    </w:p>
    <w:p w14:paraId="76EE6F5C" w14:textId="77777777" w:rsidR="00911B31" w:rsidRPr="00E36AD0" w:rsidRDefault="00911B31" w:rsidP="00A4627E">
      <w:pPr>
        <w:spacing w:before="100" w:beforeAutospacing="1" w:after="150"/>
        <w:ind w:left="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7: You must provide a competent standard of work and service to each client.</w:t>
      </w:r>
    </w:p>
    <w:p w14:paraId="3433064C"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8: You must not discriminate unlawfully against any person.</w:t>
      </w:r>
    </w:p>
    <w:p w14:paraId="24855E6A" w14:textId="77777777" w:rsidR="00911B31" w:rsidRPr="00E36AD0" w:rsidRDefault="00911B31" w:rsidP="00A4627E">
      <w:pPr>
        <w:spacing w:before="100" w:beforeAutospacing="1" w:after="150"/>
        <w:ind w:firstLine="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9: You must be open and co-operative with your regulators.</w:t>
      </w:r>
    </w:p>
    <w:p w14:paraId="2B83C2F4" w14:textId="77777777" w:rsidR="00911B31" w:rsidRPr="00E36AD0" w:rsidRDefault="00911B31" w:rsidP="00A4627E">
      <w:pPr>
        <w:spacing w:before="100" w:beforeAutospacing="1" w:after="150"/>
        <w:ind w:left="360"/>
        <w:jc w:val="both"/>
        <w:rPr>
          <w:rFonts w:ascii="Garamond" w:eastAsia="Times New Roman" w:hAnsi="Garamond"/>
          <w:i/>
          <w:color w:val="000000"/>
          <w:sz w:val="28"/>
          <w:szCs w:val="28"/>
        </w:rPr>
      </w:pPr>
      <w:r w:rsidRPr="00E36AD0">
        <w:rPr>
          <w:rFonts w:ascii="Garamond" w:eastAsia="Times New Roman" w:hAnsi="Garamond"/>
          <w:i/>
          <w:color w:val="000000"/>
          <w:sz w:val="28"/>
          <w:szCs w:val="28"/>
        </w:rPr>
        <w:t>10: You must take reasonable steps to manage your practice, or carry out your role within your practice, competently and in such a way as to achieve compliance with your legal and regulatory obligations.</w:t>
      </w:r>
    </w:p>
    <w:p w14:paraId="78DAD830" w14:textId="5F00C7C4" w:rsidR="00911B31" w:rsidRPr="00E36AD0" w:rsidRDefault="00911B31" w:rsidP="00A4627E">
      <w:pPr>
        <w:pStyle w:val="ListParagraph"/>
        <w:numPr>
          <w:ilvl w:val="0"/>
          <w:numId w:val="1"/>
        </w:numPr>
        <w:spacing w:before="100" w:beforeAutospacing="1" w:after="150"/>
        <w:jc w:val="both"/>
        <w:rPr>
          <w:rFonts w:ascii="Garamond" w:hAnsi="Garamond"/>
          <w:sz w:val="28"/>
          <w:szCs w:val="28"/>
          <w:lang w:val="en-GB"/>
        </w:rPr>
      </w:pPr>
      <w:r w:rsidRPr="00E36AD0">
        <w:rPr>
          <w:rFonts w:ascii="Garamond" w:eastAsia="Times New Roman" w:hAnsi="Garamond"/>
          <w:color w:val="000000"/>
          <w:sz w:val="28"/>
          <w:szCs w:val="28"/>
        </w:rPr>
        <w:t>It is clear that should a barrister not att</w:t>
      </w:r>
      <w:r w:rsidR="005D3FE0">
        <w:rPr>
          <w:rFonts w:ascii="Garamond" w:eastAsia="Times New Roman" w:hAnsi="Garamond"/>
          <w:color w:val="000000"/>
          <w:sz w:val="28"/>
          <w:szCs w:val="28"/>
        </w:rPr>
        <w:t xml:space="preserve">end court when a case is listed </w:t>
      </w:r>
      <w:r w:rsidRPr="00E36AD0">
        <w:rPr>
          <w:rFonts w:ascii="Garamond" w:eastAsia="Times New Roman" w:hAnsi="Garamond"/>
          <w:color w:val="000000"/>
          <w:sz w:val="28"/>
          <w:szCs w:val="28"/>
        </w:rPr>
        <w:t>they would potentially</w:t>
      </w:r>
      <w:r w:rsidR="00207C5B" w:rsidRPr="00E36AD0">
        <w:rPr>
          <w:rFonts w:ascii="Garamond" w:eastAsia="Times New Roman" w:hAnsi="Garamond"/>
          <w:color w:val="000000"/>
          <w:sz w:val="28"/>
          <w:szCs w:val="28"/>
        </w:rPr>
        <w:t xml:space="preserve"> be</w:t>
      </w:r>
      <w:r w:rsidRPr="00E36AD0">
        <w:rPr>
          <w:rFonts w:ascii="Garamond" w:eastAsia="Times New Roman" w:hAnsi="Garamond"/>
          <w:color w:val="000000"/>
          <w:sz w:val="28"/>
          <w:szCs w:val="28"/>
        </w:rPr>
        <w:t xml:space="preserve"> in breach of the Code of Conduct.</w:t>
      </w:r>
    </w:p>
    <w:p w14:paraId="7EA4A990" w14:textId="77777777" w:rsidR="00911B31" w:rsidRPr="00E36AD0" w:rsidRDefault="00911B31" w:rsidP="00A4627E">
      <w:pPr>
        <w:pStyle w:val="ListParagraph"/>
        <w:spacing w:before="100" w:beforeAutospacing="1" w:after="150"/>
        <w:jc w:val="both"/>
        <w:rPr>
          <w:rFonts w:ascii="Garamond" w:hAnsi="Garamond"/>
          <w:sz w:val="28"/>
          <w:szCs w:val="28"/>
          <w:lang w:val="en-GB"/>
        </w:rPr>
      </w:pPr>
    </w:p>
    <w:p w14:paraId="0E09EA88" w14:textId="77777777" w:rsidR="00911B31" w:rsidRPr="00E36AD0" w:rsidRDefault="00911B31" w:rsidP="00A4627E">
      <w:pPr>
        <w:pStyle w:val="ListParagraph"/>
        <w:spacing w:before="100" w:beforeAutospacing="1" w:after="150"/>
        <w:jc w:val="both"/>
        <w:rPr>
          <w:rFonts w:ascii="Garamond" w:hAnsi="Garamond"/>
          <w:sz w:val="28"/>
          <w:szCs w:val="28"/>
          <w:lang w:val="en-GB"/>
        </w:rPr>
      </w:pPr>
    </w:p>
    <w:p w14:paraId="2D772891" w14:textId="5EDF82BD" w:rsidR="00911B31" w:rsidRPr="00E36AD0" w:rsidRDefault="00911B31" w:rsidP="00A4627E">
      <w:pPr>
        <w:pStyle w:val="ListParagraph"/>
        <w:numPr>
          <w:ilvl w:val="0"/>
          <w:numId w:val="1"/>
        </w:numPr>
        <w:jc w:val="both"/>
        <w:rPr>
          <w:rFonts w:ascii="Garamond" w:hAnsi="Garamond"/>
          <w:sz w:val="28"/>
          <w:szCs w:val="28"/>
          <w:lang w:val="en-GB"/>
        </w:rPr>
      </w:pPr>
      <w:r w:rsidRPr="00E36AD0">
        <w:rPr>
          <w:rFonts w:ascii="Garamond" w:hAnsi="Garamond"/>
          <w:sz w:val="28"/>
          <w:szCs w:val="28"/>
          <w:lang w:val="en-GB"/>
        </w:rPr>
        <w:t xml:space="preserve">The </w:t>
      </w:r>
      <w:r w:rsidR="00207C5B" w:rsidRPr="00E36AD0">
        <w:rPr>
          <w:rFonts w:ascii="Garamond" w:hAnsi="Garamond"/>
          <w:sz w:val="28"/>
          <w:szCs w:val="28"/>
          <w:lang w:val="en-GB"/>
        </w:rPr>
        <w:t>BSB statement on deliberately failing to attend at court</w:t>
      </w:r>
      <w:r w:rsidRPr="00E36AD0">
        <w:rPr>
          <w:rFonts w:ascii="Garamond" w:hAnsi="Garamond"/>
          <w:sz w:val="28"/>
          <w:szCs w:val="28"/>
          <w:lang w:val="en-GB"/>
        </w:rPr>
        <w:t xml:space="preserve"> sets out what </w:t>
      </w:r>
      <w:r w:rsidR="005D3FE0">
        <w:rPr>
          <w:rFonts w:ascii="Garamond" w:hAnsi="Garamond"/>
          <w:sz w:val="28"/>
          <w:szCs w:val="28"/>
          <w:lang w:val="en-GB"/>
        </w:rPr>
        <w:t>is expected and how the BSB</w:t>
      </w:r>
      <w:r w:rsidRPr="00E36AD0">
        <w:rPr>
          <w:rFonts w:ascii="Garamond" w:hAnsi="Garamond"/>
          <w:sz w:val="28"/>
          <w:szCs w:val="28"/>
          <w:lang w:val="en-GB"/>
        </w:rPr>
        <w:t xml:space="preserve"> view any potential misconduct</w:t>
      </w:r>
      <w:r w:rsidR="00A93FCE" w:rsidRPr="00E36AD0">
        <w:rPr>
          <w:rFonts w:ascii="Garamond" w:hAnsi="Garamond"/>
          <w:sz w:val="28"/>
          <w:szCs w:val="28"/>
          <w:lang w:val="en-GB"/>
        </w:rPr>
        <w:t xml:space="preserve">: </w:t>
      </w:r>
    </w:p>
    <w:p w14:paraId="6FB313FE" w14:textId="77777777" w:rsidR="00A93FCE" w:rsidRPr="00E36AD0" w:rsidRDefault="00A93FCE" w:rsidP="00A4627E">
      <w:pPr>
        <w:pStyle w:val="ListParagraph"/>
        <w:jc w:val="both"/>
        <w:rPr>
          <w:rFonts w:ascii="Garamond" w:hAnsi="Garamond"/>
          <w:i/>
          <w:iCs/>
          <w:sz w:val="28"/>
          <w:szCs w:val="28"/>
          <w:lang w:val="en-GB"/>
        </w:rPr>
      </w:pPr>
    </w:p>
    <w:p w14:paraId="4F5C0F40" w14:textId="070E5BFE" w:rsidR="00911B31" w:rsidRPr="00E36AD0" w:rsidRDefault="00A93FCE" w:rsidP="00A4627E">
      <w:pPr>
        <w:pStyle w:val="ListParagraph"/>
        <w:jc w:val="both"/>
        <w:rPr>
          <w:rFonts w:ascii="Garamond" w:hAnsi="Garamond"/>
          <w:i/>
          <w:iCs/>
          <w:sz w:val="28"/>
          <w:szCs w:val="28"/>
          <w:lang w:val="en-GB"/>
        </w:rPr>
      </w:pPr>
      <w:r w:rsidRPr="00E36AD0">
        <w:rPr>
          <w:rFonts w:ascii="Garamond" w:hAnsi="Garamond"/>
          <w:i/>
          <w:iCs/>
          <w:sz w:val="28"/>
          <w:szCs w:val="28"/>
        </w:rPr>
        <w:t>“Barristers who deliberately fail to attend a hearing at which they are due to represent a client may face regulatory action. In deciding whether to take action, the BSB will consider all the circumstances, but will have particular regard to any harm caused by the barrister’s actions.”</w:t>
      </w:r>
    </w:p>
    <w:p w14:paraId="0F4E2D3D" w14:textId="718A0AE5" w:rsidR="00A93FCE"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lastRenderedPageBreak/>
        <w:t xml:space="preserve">This would include harm to the particular defendant involved and the court administration.  </w:t>
      </w:r>
      <w:r w:rsidR="00076CA6" w:rsidRPr="00E36AD0">
        <w:rPr>
          <w:rFonts w:ascii="Garamond" w:hAnsi="Garamond"/>
          <w:color w:val="201F1E"/>
          <w:sz w:val="28"/>
          <w:szCs w:val="28"/>
          <w:bdr w:val="none" w:sz="0" w:space="0" w:color="auto" w:frame="1"/>
        </w:rPr>
        <w:t xml:space="preserve">Also consider the potential for harm to any person, generated by your action. </w:t>
      </w:r>
    </w:p>
    <w:p w14:paraId="1E3BF5B1" w14:textId="77777777" w:rsidR="00A93FCE" w:rsidRPr="00E36AD0" w:rsidRDefault="00A93FCE" w:rsidP="00A4627E">
      <w:pPr>
        <w:pStyle w:val="NormalWeb"/>
        <w:spacing w:before="0" w:after="0"/>
        <w:ind w:left="720"/>
        <w:jc w:val="both"/>
        <w:textAlignment w:val="baseline"/>
        <w:rPr>
          <w:rFonts w:ascii="Garamond" w:hAnsi="Garamond"/>
          <w:color w:val="201F1E"/>
          <w:sz w:val="28"/>
          <w:szCs w:val="28"/>
        </w:rPr>
      </w:pPr>
    </w:p>
    <w:p w14:paraId="174BCA27" w14:textId="5B7E1D9F" w:rsidR="00911B31" w:rsidRPr="005D3FE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 xml:space="preserve">Barristers not attending court should therefore have considered their professional duties and take a harm avoidance approach. This should include, where possible, discussing the matter with </w:t>
      </w:r>
      <w:r w:rsidR="00CC20AC" w:rsidRPr="00E36AD0">
        <w:rPr>
          <w:rFonts w:ascii="Garamond" w:hAnsi="Garamond"/>
          <w:color w:val="201F1E"/>
          <w:sz w:val="28"/>
          <w:szCs w:val="28"/>
          <w:bdr w:val="none" w:sz="0" w:space="0" w:color="auto" w:frame="1"/>
        </w:rPr>
        <w:t>the</w:t>
      </w:r>
      <w:r w:rsidRPr="00E36AD0">
        <w:rPr>
          <w:rFonts w:ascii="Garamond" w:hAnsi="Garamond"/>
          <w:color w:val="201F1E"/>
          <w:sz w:val="28"/>
          <w:szCs w:val="28"/>
          <w:bdr w:val="none" w:sz="0" w:space="0" w:color="auto" w:frame="1"/>
        </w:rPr>
        <w:t xml:space="preserve"> </w:t>
      </w:r>
      <w:r w:rsidR="00E36AD0">
        <w:rPr>
          <w:rFonts w:ascii="Garamond" w:hAnsi="Garamond"/>
          <w:color w:val="201F1E"/>
          <w:sz w:val="28"/>
          <w:szCs w:val="28"/>
          <w:bdr w:val="none" w:sz="0" w:space="0" w:color="auto" w:frame="1"/>
        </w:rPr>
        <w:t xml:space="preserve">lay </w:t>
      </w:r>
      <w:r w:rsidR="005D3FE0">
        <w:rPr>
          <w:rFonts w:ascii="Garamond" w:hAnsi="Garamond"/>
          <w:color w:val="201F1E"/>
          <w:sz w:val="28"/>
          <w:szCs w:val="28"/>
          <w:bdr w:val="none" w:sz="0" w:space="0" w:color="auto" w:frame="1"/>
        </w:rPr>
        <w:t>and professional clients</w:t>
      </w:r>
      <w:r w:rsidRPr="00E36AD0">
        <w:rPr>
          <w:rFonts w:ascii="Garamond" w:hAnsi="Garamond"/>
          <w:color w:val="201F1E"/>
          <w:sz w:val="28"/>
          <w:szCs w:val="28"/>
          <w:bdr w:val="none" w:sz="0" w:space="0" w:color="auto" w:frame="1"/>
        </w:rPr>
        <w:t xml:space="preserve"> and obtaining their consent</w:t>
      </w:r>
      <w:r w:rsidR="005D3FE0">
        <w:rPr>
          <w:rFonts w:ascii="Garamond" w:hAnsi="Garamond"/>
          <w:color w:val="201F1E"/>
          <w:sz w:val="28"/>
          <w:szCs w:val="28"/>
          <w:bdr w:val="none" w:sz="0" w:space="0" w:color="auto" w:frame="1"/>
        </w:rPr>
        <w:t xml:space="preserve"> where possible.</w:t>
      </w:r>
    </w:p>
    <w:p w14:paraId="53D67B8F" w14:textId="77777777" w:rsidR="005D3FE0" w:rsidRDefault="005D3FE0" w:rsidP="005D3FE0">
      <w:pPr>
        <w:pStyle w:val="NormalWeb"/>
        <w:spacing w:before="0" w:after="0"/>
        <w:jc w:val="both"/>
        <w:textAlignment w:val="baseline"/>
        <w:rPr>
          <w:rFonts w:ascii="Garamond" w:hAnsi="Garamond"/>
          <w:color w:val="201F1E"/>
          <w:sz w:val="28"/>
          <w:szCs w:val="28"/>
        </w:rPr>
      </w:pPr>
    </w:p>
    <w:p w14:paraId="6AE44FCE" w14:textId="16F1840F" w:rsidR="005D3FE0" w:rsidRPr="005D3FE0" w:rsidRDefault="005D3FE0" w:rsidP="005D3FE0">
      <w:pPr>
        <w:pStyle w:val="NormalWeb"/>
        <w:numPr>
          <w:ilvl w:val="0"/>
          <w:numId w:val="1"/>
        </w:numPr>
        <w:spacing w:before="0" w:after="0"/>
        <w:jc w:val="both"/>
        <w:textAlignment w:val="baseline"/>
        <w:rPr>
          <w:rFonts w:ascii="Garamond" w:hAnsi="Garamond"/>
          <w:color w:val="201F1E"/>
          <w:sz w:val="28"/>
          <w:szCs w:val="28"/>
          <w:bdr w:val="none" w:sz="0" w:space="0" w:color="auto" w:frame="1"/>
        </w:rPr>
      </w:pPr>
      <w:r w:rsidRPr="005D3FE0">
        <w:rPr>
          <w:rFonts w:ascii="Garamond" w:hAnsi="Garamond"/>
          <w:color w:val="201F1E"/>
          <w:sz w:val="28"/>
          <w:szCs w:val="28"/>
          <w:bdr w:val="none" w:sz="0" w:space="0" w:color="auto" w:frame="1"/>
        </w:rPr>
        <w:t>Currently there is a lack of Counsel to conduct publicly fun</w:t>
      </w:r>
      <w:r>
        <w:rPr>
          <w:rFonts w:ascii="Garamond" w:hAnsi="Garamond"/>
          <w:color w:val="201F1E"/>
          <w:sz w:val="28"/>
          <w:szCs w:val="28"/>
          <w:bdr w:val="none" w:sz="0" w:space="0" w:color="auto" w:frame="1"/>
        </w:rPr>
        <w:t>ded criminal work.</w:t>
      </w:r>
    </w:p>
    <w:p w14:paraId="789874B3" w14:textId="77777777" w:rsidR="00207C5B" w:rsidRPr="00E36AD0" w:rsidRDefault="00207C5B" w:rsidP="00A4627E">
      <w:pPr>
        <w:pStyle w:val="NormalWeb"/>
        <w:spacing w:before="0" w:after="0"/>
        <w:jc w:val="both"/>
        <w:textAlignment w:val="baseline"/>
        <w:rPr>
          <w:rFonts w:ascii="Garamond" w:hAnsi="Garamond"/>
          <w:color w:val="201F1E"/>
          <w:sz w:val="28"/>
          <w:szCs w:val="28"/>
        </w:rPr>
      </w:pPr>
    </w:p>
    <w:p w14:paraId="487A8183" w14:textId="31D03EB0" w:rsidR="005D3FE0" w:rsidRPr="005D3FE0" w:rsidRDefault="00911B31" w:rsidP="00094920">
      <w:pPr>
        <w:pStyle w:val="NormalWeb"/>
        <w:numPr>
          <w:ilvl w:val="0"/>
          <w:numId w:val="1"/>
        </w:numPr>
        <w:spacing w:before="0" w:after="0"/>
        <w:jc w:val="both"/>
        <w:textAlignment w:val="baseline"/>
        <w:rPr>
          <w:rFonts w:ascii="Garamond" w:hAnsi="Garamond"/>
          <w:color w:val="201F1E"/>
          <w:sz w:val="28"/>
          <w:szCs w:val="28"/>
          <w:bdr w:val="none" w:sz="0" w:space="0" w:color="auto" w:frame="1"/>
        </w:rPr>
      </w:pPr>
      <w:r w:rsidRPr="005D3FE0">
        <w:rPr>
          <w:rFonts w:ascii="Garamond" w:hAnsi="Garamond"/>
          <w:color w:val="201F1E"/>
          <w:sz w:val="28"/>
          <w:szCs w:val="28"/>
          <w:bdr w:val="none" w:sz="0" w:space="0" w:color="auto" w:frame="1"/>
        </w:rPr>
        <w:t>Through the careful exercise of professional judgment, they should balance all the factors of non-attendance and the potential for harm that may be caused</w:t>
      </w:r>
      <w:r w:rsidR="00207C5B" w:rsidRPr="005D3FE0">
        <w:rPr>
          <w:rFonts w:ascii="Garamond" w:hAnsi="Garamond"/>
          <w:color w:val="201F1E"/>
          <w:sz w:val="28"/>
          <w:szCs w:val="28"/>
          <w:bdr w:val="none" w:sz="0" w:space="0" w:color="auto" w:frame="1"/>
        </w:rPr>
        <w:t>,</w:t>
      </w:r>
      <w:r w:rsidRPr="005D3FE0">
        <w:rPr>
          <w:rFonts w:ascii="Garamond" w:hAnsi="Garamond"/>
          <w:color w:val="201F1E"/>
          <w:sz w:val="28"/>
          <w:szCs w:val="28"/>
          <w:bdr w:val="none" w:sz="0" w:space="0" w:color="auto" w:frame="1"/>
        </w:rPr>
        <w:t xml:space="preserve"> against the</w:t>
      </w:r>
      <w:r w:rsidR="005D3FE0" w:rsidRPr="005D3FE0">
        <w:rPr>
          <w:rFonts w:ascii="Garamond" w:hAnsi="Garamond"/>
          <w:color w:val="201F1E"/>
          <w:sz w:val="28"/>
          <w:szCs w:val="28"/>
          <w:bdr w:val="none" w:sz="0" w:space="0" w:color="auto" w:frame="1"/>
        </w:rPr>
        <w:t xml:space="preserve"> reason for non-attendance.  If the reason for non-attendance is attendance in another publicly funded case which required Counsel, for which there was likely to also be non-attendance then </w:t>
      </w:r>
      <w:r w:rsidR="005D3FE0">
        <w:rPr>
          <w:rFonts w:ascii="Garamond" w:hAnsi="Garamond"/>
          <w:color w:val="201F1E"/>
          <w:sz w:val="28"/>
          <w:szCs w:val="28"/>
          <w:bdr w:val="none" w:sz="0" w:space="0" w:color="auto" w:frame="1"/>
        </w:rPr>
        <w:t>Counsel should carefully consider which case should take priority.</w:t>
      </w:r>
    </w:p>
    <w:p w14:paraId="3FBFF316" w14:textId="77777777" w:rsidR="005D3FE0" w:rsidRPr="005D3FE0" w:rsidRDefault="005D3FE0" w:rsidP="005D3FE0">
      <w:pPr>
        <w:pStyle w:val="NormalWeb"/>
        <w:spacing w:before="0" w:after="0"/>
        <w:jc w:val="both"/>
        <w:textAlignment w:val="baseline"/>
        <w:rPr>
          <w:rFonts w:ascii="Garamond" w:hAnsi="Garamond"/>
          <w:color w:val="201F1E"/>
          <w:sz w:val="28"/>
          <w:szCs w:val="28"/>
          <w:bdr w:val="none" w:sz="0" w:space="0" w:color="auto" w:frame="1"/>
        </w:rPr>
      </w:pPr>
    </w:p>
    <w:p w14:paraId="57896F22" w14:textId="6E1B55DC" w:rsidR="00076CA6"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Some examples of matters to be taken into account in the process of considering harm include</w:t>
      </w:r>
      <w:r w:rsidR="00207C5B" w:rsidRPr="00E36AD0">
        <w:rPr>
          <w:rFonts w:ascii="Garamond" w:hAnsi="Garamond"/>
          <w:color w:val="201F1E"/>
          <w:sz w:val="28"/>
          <w:szCs w:val="28"/>
          <w:bdr w:val="none" w:sz="0" w:space="0" w:color="auto" w:frame="1"/>
        </w:rPr>
        <w:t xml:space="preserve"> (</w:t>
      </w:r>
      <w:r w:rsidR="00A93FCE" w:rsidRPr="00E36AD0">
        <w:rPr>
          <w:rFonts w:ascii="Garamond" w:hAnsi="Garamond"/>
          <w:color w:val="201F1E"/>
          <w:sz w:val="28"/>
          <w:szCs w:val="28"/>
          <w:bdr w:val="none" w:sz="0" w:space="0" w:color="auto" w:frame="1"/>
        </w:rPr>
        <w:t>please refer to</w:t>
      </w:r>
      <w:r w:rsidR="00207C5B" w:rsidRPr="00E36AD0">
        <w:rPr>
          <w:rFonts w:ascii="Garamond" w:hAnsi="Garamond"/>
          <w:color w:val="201F1E"/>
          <w:sz w:val="28"/>
          <w:szCs w:val="28"/>
          <w:bdr w:val="none" w:sz="0" w:space="0" w:color="auto" w:frame="1"/>
        </w:rPr>
        <w:t xml:space="preserve"> paragraph 18 (e) of the CBA guidance)</w:t>
      </w:r>
      <w:r w:rsidRPr="00E36AD0">
        <w:rPr>
          <w:rFonts w:ascii="Garamond" w:hAnsi="Garamond"/>
          <w:color w:val="201F1E"/>
          <w:sz w:val="28"/>
          <w:szCs w:val="28"/>
          <w:bdr w:val="none" w:sz="0" w:space="0" w:color="auto" w:frame="1"/>
        </w:rPr>
        <w:t>:</w:t>
      </w:r>
    </w:p>
    <w:p w14:paraId="3B66FE6A" w14:textId="7B207591" w:rsidR="00076CA6" w:rsidRPr="00E36AD0" w:rsidRDefault="00076CA6" w:rsidP="00A4627E">
      <w:pPr>
        <w:pStyle w:val="NormalWeb"/>
        <w:numPr>
          <w:ilvl w:val="0"/>
          <w:numId w:val="3"/>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y</w:t>
      </w:r>
      <w:r w:rsidR="00A93FCE" w:rsidRPr="00E36AD0">
        <w:rPr>
          <w:rFonts w:ascii="Garamond" w:hAnsi="Garamond"/>
          <w:color w:val="201F1E"/>
          <w:sz w:val="28"/>
          <w:szCs w:val="28"/>
          <w:bdr w:val="none" w:sz="0" w:space="0" w:color="auto" w:frame="1"/>
        </w:rPr>
        <w:t>outh</w:t>
      </w:r>
    </w:p>
    <w:p w14:paraId="722FB4CF" w14:textId="0E0E0400" w:rsidR="00076CA6" w:rsidRPr="00E36AD0" w:rsidRDefault="00A93FCE" w:rsidP="00A4627E">
      <w:pPr>
        <w:pStyle w:val="NormalWeb"/>
        <w:numPr>
          <w:ilvl w:val="0"/>
          <w:numId w:val="3"/>
        </w:numPr>
        <w:spacing w:before="0" w:after="0"/>
        <w:jc w:val="both"/>
        <w:textAlignment w:val="baseline"/>
        <w:rPr>
          <w:rFonts w:ascii="Garamond" w:hAnsi="Garamond"/>
          <w:color w:val="201F1E"/>
          <w:sz w:val="28"/>
          <w:szCs w:val="28"/>
        </w:rPr>
      </w:pPr>
      <w:r w:rsidRPr="00E36AD0">
        <w:rPr>
          <w:rFonts w:ascii="Garamond" w:hAnsi="Garamond"/>
          <w:sz w:val="28"/>
          <w:szCs w:val="28"/>
        </w:rPr>
        <w:t>vulnerabilities that attach to either the defendant or a complainant/ witness (including but not limited to those who require an intermediary)</w:t>
      </w:r>
    </w:p>
    <w:p w14:paraId="3EB4E980" w14:textId="7681494C" w:rsidR="00076CA6" w:rsidRPr="00E36AD0" w:rsidRDefault="00076CA6" w:rsidP="00A4627E">
      <w:pPr>
        <w:pStyle w:val="NormalWeb"/>
        <w:numPr>
          <w:ilvl w:val="0"/>
          <w:numId w:val="3"/>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length of remand (consider custody time limits)</w:t>
      </w:r>
    </w:p>
    <w:p w14:paraId="05949729" w14:textId="77777777" w:rsidR="00076CA6" w:rsidRPr="00E36AD0" w:rsidRDefault="009E7F51" w:rsidP="00A4627E">
      <w:pPr>
        <w:pStyle w:val="NormalWeb"/>
        <w:numPr>
          <w:ilvl w:val="0"/>
          <w:numId w:val="3"/>
        </w:numPr>
        <w:spacing w:before="0" w:after="0"/>
        <w:jc w:val="both"/>
        <w:textAlignment w:val="baseline"/>
        <w:rPr>
          <w:rFonts w:ascii="Garamond" w:hAnsi="Garamond"/>
          <w:color w:val="201F1E"/>
          <w:sz w:val="28"/>
          <w:szCs w:val="28"/>
        </w:rPr>
      </w:pPr>
      <w:r w:rsidRPr="00E36AD0">
        <w:rPr>
          <w:rFonts w:ascii="Garamond" w:hAnsi="Garamond"/>
          <w:sz w:val="28"/>
          <w:szCs w:val="28"/>
        </w:rPr>
        <w:t>the consequences of adjourning or delaying a trial (including article 6, right to a fair trial)</w:t>
      </w:r>
      <w:r w:rsidRPr="00E36AD0">
        <w:rPr>
          <w:rFonts w:ascii="Garamond" w:hAnsi="Garamond"/>
          <w:color w:val="201F1E"/>
          <w:sz w:val="28"/>
          <w:szCs w:val="28"/>
          <w:bdr w:val="none" w:sz="0" w:space="0" w:color="auto" w:frame="1"/>
        </w:rPr>
        <w:t xml:space="preserve">. </w:t>
      </w:r>
    </w:p>
    <w:p w14:paraId="6CF10240" w14:textId="58E5DE78" w:rsidR="009E7F51" w:rsidRPr="00E36AD0" w:rsidRDefault="009E7F51" w:rsidP="00A4627E">
      <w:pPr>
        <w:pStyle w:val="NormalWeb"/>
        <w:spacing w:before="0" w:after="0"/>
        <w:ind w:left="108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I</w:t>
      </w:r>
      <w:r w:rsidRPr="00E36AD0">
        <w:rPr>
          <w:rFonts w:ascii="Garamond" w:hAnsi="Garamond"/>
          <w:sz w:val="28"/>
          <w:szCs w:val="28"/>
        </w:rPr>
        <w:t xml:space="preserve">t is not possible to provide an exhaustive list of potential vulnerabilities and relevant considerations. Exercise your professional judgement on the facts of the case. </w:t>
      </w:r>
    </w:p>
    <w:p w14:paraId="74F04649" w14:textId="77777777" w:rsidR="009E7F51" w:rsidRPr="00E36AD0" w:rsidRDefault="009E7F51" w:rsidP="00A4627E">
      <w:pPr>
        <w:pStyle w:val="ListParagraph"/>
        <w:jc w:val="both"/>
        <w:rPr>
          <w:rFonts w:ascii="Garamond" w:hAnsi="Garamond"/>
          <w:color w:val="201F1E"/>
          <w:sz w:val="28"/>
          <w:szCs w:val="28"/>
          <w:bdr w:val="none" w:sz="0" w:space="0" w:color="auto" w:frame="1"/>
        </w:rPr>
      </w:pPr>
    </w:p>
    <w:p w14:paraId="4974B0D8" w14:textId="3ADA8A1B"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lastRenderedPageBreak/>
        <w:t>A brief note should be kept by the barrister recording the factors they have taken into account and the basis for their conclusion.</w:t>
      </w:r>
    </w:p>
    <w:p w14:paraId="1CB1313A" w14:textId="77777777" w:rsidR="00911B31" w:rsidRPr="00E36AD0" w:rsidRDefault="00911B31" w:rsidP="00A4627E">
      <w:pPr>
        <w:pStyle w:val="NormalWeb"/>
        <w:spacing w:before="0" w:after="0"/>
        <w:jc w:val="both"/>
        <w:textAlignment w:val="baseline"/>
        <w:rPr>
          <w:rFonts w:ascii="Garamond" w:hAnsi="Garamond"/>
          <w:color w:val="201F1E"/>
          <w:sz w:val="28"/>
          <w:szCs w:val="28"/>
        </w:rPr>
      </w:pPr>
    </w:p>
    <w:p w14:paraId="54BA40FB" w14:textId="62FD6F77"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 xml:space="preserve">In addition, barristers should have informed all parties of their </w:t>
      </w:r>
      <w:r w:rsidR="005D3FE0">
        <w:rPr>
          <w:rFonts w:ascii="Garamond" w:hAnsi="Garamond"/>
          <w:color w:val="201F1E"/>
          <w:sz w:val="28"/>
          <w:szCs w:val="28"/>
          <w:bdr w:val="none" w:sz="0" w:space="0" w:color="auto" w:frame="1"/>
        </w:rPr>
        <w:t xml:space="preserve">lack of availability </w:t>
      </w:r>
      <w:r w:rsidR="00D10B9F" w:rsidRPr="00E36AD0">
        <w:rPr>
          <w:rFonts w:ascii="Garamond" w:hAnsi="Garamond"/>
          <w:color w:val="201F1E"/>
          <w:sz w:val="28"/>
          <w:szCs w:val="28"/>
          <w:bdr w:val="none" w:sz="0" w:space="0" w:color="auto" w:frame="1"/>
        </w:rPr>
        <w:t>(</w:t>
      </w:r>
      <w:r w:rsidRPr="00E36AD0">
        <w:rPr>
          <w:rFonts w:ascii="Garamond" w:hAnsi="Garamond"/>
          <w:color w:val="201F1E"/>
          <w:sz w:val="28"/>
          <w:szCs w:val="28"/>
          <w:bdr w:val="none" w:sz="0" w:space="0" w:color="auto" w:frame="1"/>
        </w:rPr>
        <w:t>solicitors, co-</w:t>
      </w:r>
      <w:r w:rsidR="00D10B9F" w:rsidRPr="00E36AD0">
        <w:rPr>
          <w:rFonts w:ascii="Garamond" w:hAnsi="Garamond"/>
          <w:color w:val="201F1E"/>
          <w:sz w:val="28"/>
          <w:szCs w:val="28"/>
          <w:bdr w:val="none" w:sz="0" w:space="0" w:color="auto" w:frame="1"/>
        </w:rPr>
        <w:t>c</w:t>
      </w:r>
      <w:r w:rsidRPr="00E36AD0">
        <w:rPr>
          <w:rFonts w:ascii="Garamond" w:hAnsi="Garamond"/>
          <w:color w:val="201F1E"/>
          <w:sz w:val="28"/>
          <w:szCs w:val="28"/>
          <w:bdr w:val="none" w:sz="0" w:space="0" w:color="auto" w:frame="1"/>
        </w:rPr>
        <w:t>ounsel</w:t>
      </w:r>
      <w:r w:rsidR="005D3FE0">
        <w:rPr>
          <w:rFonts w:ascii="Garamond" w:hAnsi="Garamond"/>
          <w:color w:val="201F1E"/>
          <w:sz w:val="28"/>
          <w:szCs w:val="28"/>
          <w:bdr w:val="none" w:sz="0" w:space="0" w:color="auto" w:frame="1"/>
        </w:rPr>
        <w:t xml:space="preserve">, </w:t>
      </w:r>
      <w:r w:rsidR="00D10B9F" w:rsidRPr="00E36AD0">
        <w:rPr>
          <w:rFonts w:ascii="Garamond" w:hAnsi="Garamond"/>
          <w:color w:val="201F1E"/>
          <w:sz w:val="28"/>
          <w:szCs w:val="28"/>
          <w:bdr w:val="none" w:sz="0" w:space="0" w:color="auto" w:frame="1"/>
        </w:rPr>
        <w:t>prosecution)</w:t>
      </w:r>
      <w:r w:rsidRPr="00E36AD0">
        <w:rPr>
          <w:rFonts w:ascii="Garamond" w:hAnsi="Garamond"/>
          <w:color w:val="201F1E"/>
          <w:sz w:val="28"/>
          <w:szCs w:val="28"/>
          <w:bdr w:val="none" w:sz="0" w:space="0" w:color="auto" w:frame="1"/>
        </w:rPr>
        <w:t xml:space="preserve"> and the court in order to minimize the impact on the administration of justice insofar as this would comply with taking reasonable steps to manage your practice in accordance with Core Duty number 10.</w:t>
      </w:r>
      <w:r w:rsidR="004B2548">
        <w:rPr>
          <w:rFonts w:ascii="Garamond" w:hAnsi="Garamond"/>
          <w:color w:val="201F1E"/>
          <w:sz w:val="28"/>
          <w:szCs w:val="28"/>
          <w:bdr w:val="none" w:sz="0" w:space="0" w:color="auto" w:frame="1"/>
        </w:rPr>
        <w:t xml:space="preserve">  We suggest that as soon as a clash in commitments is apparent that this should be entered on the DCS.</w:t>
      </w:r>
    </w:p>
    <w:p w14:paraId="085BBEE5" w14:textId="77777777" w:rsidR="00911B31" w:rsidRPr="00E36AD0" w:rsidRDefault="00911B31" w:rsidP="00A4627E">
      <w:pPr>
        <w:pStyle w:val="ListParagraph"/>
        <w:jc w:val="both"/>
        <w:rPr>
          <w:rFonts w:ascii="Garamond" w:hAnsi="Garamond"/>
          <w:color w:val="201F1E"/>
          <w:sz w:val="28"/>
          <w:szCs w:val="28"/>
        </w:rPr>
      </w:pPr>
    </w:p>
    <w:p w14:paraId="105B727D" w14:textId="77777777" w:rsidR="00E36AD0"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It should be noted that representation funded by the BMIF at any disciplinary hearing is discretionary.</w:t>
      </w:r>
    </w:p>
    <w:p w14:paraId="1F43EE3E" w14:textId="77777777" w:rsidR="00E36AD0" w:rsidRDefault="00E36AD0" w:rsidP="00A4627E">
      <w:pPr>
        <w:pStyle w:val="ListParagraph"/>
        <w:jc w:val="both"/>
        <w:rPr>
          <w:rFonts w:ascii="Garamond" w:hAnsi="Garamond"/>
          <w:color w:val="201F1E"/>
          <w:sz w:val="28"/>
          <w:szCs w:val="28"/>
          <w:bdr w:val="none" w:sz="0" w:space="0" w:color="auto" w:frame="1"/>
        </w:rPr>
      </w:pPr>
    </w:p>
    <w:p w14:paraId="42B70546" w14:textId="137B5FE0"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bdr w:val="none" w:sz="0" w:space="0" w:color="auto" w:frame="1"/>
        </w:rPr>
        <w:t xml:space="preserve"> If BMIF funding is not provided, </w:t>
      </w:r>
      <w:r w:rsidR="00D10B9F" w:rsidRPr="00E36AD0">
        <w:rPr>
          <w:rFonts w:ascii="Garamond" w:hAnsi="Garamond"/>
          <w:color w:val="201F1E"/>
          <w:sz w:val="28"/>
          <w:szCs w:val="28"/>
          <w:bdr w:val="none" w:sz="0" w:space="0" w:color="auto" w:frame="1"/>
        </w:rPr>
        <w:t xml:space="preserve">pro-bono representation by a Silk </w:t>
      </w:r>
      <w:r w:rsidR="00076CA6" w:rsidRPr="00E36AD0">
        <w:rPr>
          <w:rFonts w:ascii="Garamond" w:hAnsi="Garamond"/>
          <w:color w:val="201F1E"/>
          <w:sz w:val="28"/>
          <w:szCs w:val="28"/>
          <w:bdr w:val="none" w:sz="0" w:space="0" w:color="auto" w:frame="1"/>
        </w:rPr>
        <w:t>can by accessed through the CB</w:t>
      </w:r>
      <w:r w:rsidR="00E3359D" w:rsidRPr="00E36AD0">
        <w:rPr>
          <w:rFonts w:ascii="Garamond" w:hAnsi="Garamond"/>
          <w:color w:val="201F1E"/>
          <w:sz w:val="28"/>
          <w:szCs w:val="28"/>
          <w:bdr w:val="none" w:sz="0" w:space="0" w:color="auto" w:frame="1"/>
        </w:rPr>
        <w:t xml:space="preserve">A </w:t>
      </w:r>
      <w:r w:rsidR="00076CA6" w:rsidRPr="00E36AD0">
        <w:rPr>
          <w:rFonts w:ascii="Garamond" w:hAnsi="Garamond"/>
          <w:color w:val="201F1E"/>
          <w:sz w:val="28"/>
          <w:szCs w:val="28"/>
          <w:bdr w:val="none" w:sz="0" w:space="0" w:color="auto" w:frame="1"/>
        </w:rPr>
        <w:t>by any barrister facing disciplinary action for</w:t>
      </w:r>
      <w:r w:rsidR="005D3FE0">
        <w:rPr>
          <w:rFonts w:ascii="Garamond" w:hAnsi="Garamond"/>
          <w:color w:val="201F1E"/>
          <w:sz w:val="28"/>
          <w:szCs w:val="28"/>
          <w:bdr w:val="none" w:sz="0" w:space="0" w:color="auto" w:frame="1"/>
        </w:rPr>
        <w:t xml:space="preserve"> finding themselves unable to attend court due to being engaged elsewhere.</w:t>
      </w:r>
    </w:p>
    <w:p w14:paraId="2F029915" w14:textId="77777777" w:rsidR="00E3359D" w:rsidRPr="00E36AD0" w:rsidRDefault="00E3359D" w:rsidP="00A4627E">
      <w:pPr>
        <w:pStyle w:val="NormalWeb"/>
        <w:spacing w:before="0" w:after="0"/>
        <w:ind w:left="720"/>
        <w:jc w:val="both"/>
        <w:textAlignment w:val="baseline"/>
        <w:rPr>
          <w:rFonts w:ascii="Garamond" w:hAnsi="Garamond"/>
          <w:b/>
          <w:bCs/>
          <w:i/>
          <w:iCs/>
          <w:color w:val="201F1E"/>
          <w:sz w:val="28"/>
          <w:szCs w:val="28"/>
        </w:rPr>
      </w:pPr>
    </w:p>
    <w:p w14:paraId="51DAB660" w14:textId="2490DC20" w:rsidR="00E3359D" w:rsidRPr="00A4627E" w:rsidRDefault="00E3359D" w:rsidP="00A4627E">
      <w:pPr>
        <w:pStyle w:val="NormalWeb"/>
        <w:spacing w:before="0" w:after="0"/>
        <w:ind w:left="720"/>
        <w:jc w:val="both"/>
        <w:textAlignment w:val="baseline"/>
        <w:rPr>
          <w:rFonts w:ascii="Garamond" w:hAnsi="Garamond"/>
          <w:b/>
          <w:bCs/>
          <w:i/>
          <w:iCs/>
          <w:color w:val="201F1E"/>
          <w:sz w:val="28"/>
          <w:szCs w:val="28"/>
        </w:rPr>
      </w:pPr>
      <w:r w:rsidRPr="00E36AD0">
        <w:rPr>
          <w:rFonts w:ascii="Garamond" w:hAnsi="Garamond"/>
          <w:b/>
          <w:bCs/>
          <w:i/>
          <w:iCs/>
          <w:color w:val="201F1E"/>
          <w:sz w:val="28"/>
          <w:szCs w:val="28"/>
        </w:rPr>
        <w:t>What you should say</w:t>
      </w:r>
    </w:p>
    <w:p w14:paraId="47348691" w14:textId="591C40C1" w:rsidR="00A4627E" w:rsidRDefault="00911B31" w:rsidP="000F4834">
      <w:pPr>
        <w:pStyle w:val="NormalWeb"/>
        <w:numPr>
          <w:ilvl w:val="0"/>
          <w:numId w:val="1"/>
        </w:numPr>
        <w:spacing w:before="0" w:after="0"/>
        <w:jc w:val="both"/>
        <w:textAlignment w:val="baseline"/>
        <w:rPr>
          <w:rFonts w:ascii="Garamond" w:hAnsi="Garamond"/>
          <w:color w:val="201F1E"/>
          <w:sz w:val="28"/>
          <w:szCs w:val="28"/>
        </w:rPr>
      </w:pPr>
      <w:r w:rsidRPr="005D3FE0">
        <w:rPr>
          <w:rFonts w:ascii="Garamond" w:hAnsi="Garamond"/>
          <w:color w:val="201F1E"/>
          <w:sz w:val="28"/>
          <w:szCs w:val="28"/>
        </w:rPr>
        <w:t xml:space="preserve">As little as possible. This is not the occasion to seek to justify </w:t>
      </w:r>
      <w:r w:rsidR="005D3FE0">
        <w:rPr>
          <w:rFonts w:ascii="Garamond" w:hAnsi="Garamond"/>
          <w:color w:val="201F1E"/>
          <w:sz w:val="28"/>
          <w:szCs w:val="28"/>
        </w:rPr>
        <w:t xml:space="preserve">taking another publicly funded case and being unavailable </w:t>
      </w:r>
      <w:r w:rsidR="004B2548">
        <w:rPr>
          <w:rFonts w:ascii="Garamond" w:hAnsi="Garamond"/>
          <w:color w:val="201F1E"/>
          <w:sz w:val="28"/>
          <w:szCs w:val="28"/>
        </w:rPr>
        <w:t>for a case where you hold the brief.</w:t>
      </w:r>
    </w:p>
    <w:p w14:paraId="7DA25ED0" w14:textId="77777777" w:rsidR="004B2548" w:rsidRPr="005D3FE0" w:rsidRDefault="004B2548" w:rsidP="004B2548">
      <w:pPr>
        <w:pStyle w:val="NormalWeb"/>
        <w:spacing w:before="0" w:after="0"/>
        <w:ind w:left="720"/>
        <w:jc w:val="both"/>
        <w:textAlignment w:val="baseline"/>
        <w:rPr>
          <w:rFonts w:ascii="Garamond" w:hAnsi="Garamond"/>
          <w:color w:val="201F1E"/>
          <w:sz w:val="28"/>
          <w:szCs w:val="28"/>
        </w:rPr>
      </w:pPr>
    </w:p>
    <w:p w14:paraId="29EB7943" w14:textId="30B5F3E9" w:rsidR="00E36AD0" w:rsidRPr="00A4627E" w:rsidRDefault="004B2548" w:rsidP="00A4627E">
      <w:pPr>
        <w:pStyle w:val="NormalWeb"/>
        <w:numPr>
          <w:ilvl w:val="0"/>
          <w:numId w:val="1"/>
        </w:numPr>
        <w:spacing w:before="0" w:after="0"/>
        <w:jc w:val="both"/>
        <w:textAlignment w:val="baseline"/>
        <w:rPr>
          <w:rFonts w:ascii="Garamond" w:hAnsi="Garamond"/>
          <w:color w:val="201F1E"/>
          <w:sz w:val="28"/>
          <w:szCs w:val="28"/>
        </w:rPr>
      </w:pPr>
      <w:r>
        <w:rPr>
          <w:rFonts w:ascii="Garamond" w:hAnsi="Garamond"/>
          <w:color w:val="201F1E"/>
          <w:sz w:val="28"/>
          <w:szCs w:val="28"/>
        </w:rPr>
        <w:t xml:space="preserve">The LCJ </w:t>
      </w:r>
      <w:r w:rsidR="00911B31" w:rsidRPr="00E36AD0">
        <w:rPr>
          <w:rFonts w:ascii="Garamond" w:hAnsi="Garamond"/>
          <w:color w:val="201F1E"/>
          <w:sz w:val="28"/>
          <w:szCs w:val="28"/>
        </w:rPr>
        <w:t>said</w:t>
      </w:r>
      <w:r>
        <w:rPr>
          <w:rFonts w:ascii="Garamond" w:hAnsi="Garamond"/>
          <w:color w:val="201F1E"/>
          <w:sz w:val="28"/>
          <w:szCs w:val="28"/>
        </w:rPr>
        <w:t xml:space="preserve"> during the Barristers’ action that:</w:t>
      </w:r>
    </w:p>
    <w:p w14:paraId="4F5AF587" w14:textId="6F8A2B9C" w:rsidR="004B2548" w:rsidRDefault="00911B31" w:rsidP="004B2548">
      <w:pPr>
        <w:pStyle w:val="NormalWeb"/>
        <w:spacing w:before="0" w:after="0"/>
        <w:ind w:left="720"/>
        <w:jc w:val="both"/>
        <w:textAlignment w:val="baseline"/>
        <w:rPr>
          <w:rFonts w:ascii="Garamond" w:hAnsi="Garamond"/>
          <w:color w:val="201F1E"/>
          <w:sz w:val="28"/>
          <w:szCs w:val="28"/>
        </w:rPr>
      </w:pPr>
      <w:r w:rsidRPr="00E36AD0">
        <w:rPr>
          <w:rFonts w:ascii="Garamond" w:hAnsi="Garamond"/>
          <w:color w:val="201F1E"/>
          <w:sz w:val="28"/>
          <w:szCs w:val="28"/>
        </w:rPr>
        <w:t xml:space="preserve"> </w:t>
      </w:r>
      <w:r w:rsidRPr="00E36AD0">
        <w:rPr>
          <w:rFonts w:ascii="Garamond" w:hAnsi="Garamond"/>
          <w:i/>
          <w:iCs/>
          <w:color w:val="201F1E"/>
          <w:sz w:val="28"/>
          <w:szCs w:val="28"/>
        </w:rPr>
        <w:t>“All cases in which there is non-attendance should be referred to the Senior Presiding Judge’s Office to consider whether to involve the Bar Standards Board.”</w:t>
      </w:r>
      <w:r w:rsidRPr="00E36AD0">
        <w:rPr>
          <w:rFonts w:ascii="Garamond" w:hAnsi="Garamond"/>
          <w:color w:val="201F1E"/>
          <w:sz w:val="28"/>
          <w:szCs w:val="28"/>
        </w:rPr>
        <w:t xml:space="preserve"> </w:t>
      </w:r>
    </w:p>
    <w:p w14:paraId="32D44119" w14:textId="13D2345A" w:rsidR="004B2548" w:rsidRDefault="004B2548" w:rsidP="004B2548">
      <w:pPr>
        <w:pStyle w:val="NormalWeb"/>
        <w:spacing w:before="0" w:after="0"/>
        <w:ind w:left="720"/>
        <w:jc w:val="both"/>
        <w:textAlignment w:val="baseline"/>
        <w:rPr>
          <w:rFonts w:ascii="Garamond" w:hAnsi="Garamond"/>
          <w:color w:val="201F1E"/>
          <w:sz w:val="28"/>
          <w:szCs w:val="28"/>
        </w:rPr>
      </w:pPr>
      <w:r>
        <w:rPr>
          <w:rFonts w:ascii="Garamond" w:hAnsi="Garamond"/>
          <w:color w:val="201F1E"/>
          <w:sz w:val="28"/>
          <w:szCs w:val="28"/>
        </w:rPr>
        <w:t>We will shortly confirm whether this is now the position with respect to non-attendance due to engagement elsewhere.</w:t>
      </w:r>
    </w:p>
    <w:p w14:paraId="022F1320" w14:textId="77777777" w:rsidR="004B2548" w:rsidRPr="004B2548" w:rsidRDefault="004B2548" w:rsidP="004B2548">
      <w:pPr>
        <w:pStyle w:val="NormalWeb"/>
        <w:spacing w:before="0" w:after="0"/>
        <w:jc w:val="both"/>
        <w:textAlignment w:val="baseline"/>
        <w:rPr>
          <w:rFonts w:ascii="Garamond" w:hAnsi="Garamond"/>
          <w:color w:val="201F1E"/>
          <w:sz w:val="28"/>
          <w:szCs w:val="28"/>
        </w:rPr>
      </w:pPr>
    </w:p>
    <w:p w14:paraId="57CFF442" w14:textId="6F417EE1" w:rsidR="00911B31" w:rsidRPr="00E36AD0" w:rsidRDefault="00911B31" w:rsidP="00A4627E">
      <w:pPr>
        <w:pStyle w:val="NormalWeb"/>
        <w:numPr>
          <w:ilvl w:val="0"/>
          <w:numId w:val="1"/>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If the judge intends to follow the LCJ’s guidance there is very little that can or should be said at this stage. If you are in court, you may wish to make the following clear</w:t>
      </w:r>
      <w:r w:rsidR="00CC20AC" w:rsidRPr="00E36AD0">
        <w:rPr>
          <w:rFonts w:ascii="Garamond" w:hAnsi="Garamond"/>
          <w:color w:val="201F1E"/>
          <w:sz w:val="28"/>
          <w:szCs w:val="28"/>
        </w:rPr>
        <w:t xml:space="preserve"> (refer to paragraph 18 of the CBA guidance)</w:t>
      </w:r>
      <w:r w:rsidRPr="00E36AD0">
        <w:rPr>
          <w:rFonts w:ascii="Garamond" w:hAnsi="Garamond"/>
          <w:color w:val="201F1E"/>
          <w:sz w:val="28"/>
          <w:szCs w:val="28"/>
        </w:rPr>
        <w:t>:</w:t>
      </w:r>
    </w:p>
    <w:p w14:paraId="68CC86DE" w14:textId="2AF2B4A0" w:rsidR="00245377" w:rsidRDefault="00911B31" w:rsidP="00A4627E">
      <w:pPr>
        <w:pStyle w:val="NormalWeb"/>
        <w:numPr>
          <w:ilvl w:val="0"/>
          <w:numId w:val="4"/>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lastRenderedPageBreak/>
        <w:t xml:space="preserve">You </w:t>
      </w:r>
      <w:r w:rsidR="0028333F" w:rsidRPr="00E36AD0">
        <w:rPr>
          <w:rFonts w:ascii="Garamond" w:hAnsi="Garamond"/>
          <w:color w:val="201F1E"/>
          <w:sz w:val="28"/>
          <w:szCs w:val="28"/>
        </w:rPr>
        <w:t xml:space="preserve">gave prompt notification of your </w:t>
      </w:r>
      <w:r w:rsidR="004B2548">
        <w:rPr>
          <w:rFonts w:ascii="Garamond" w:hAnsi="Garamond"/>
          <w:color w:val="201F1E"/>
          <w:sz w:val="28"/>
          <w:szCs w:val="28"/>
        </w:rPr>
        <w:t xml:space="preserve">non-availability </w:t>
      </w:r>
      <w:r w:rsidR="0028333F" w:rsidRPr="00E36AD0">
        <w:rPr>
          <w:rFonts w:ascii="Garamond" w:hAnsi="Garamond"/>
          <w:color w:val="201F1E"/>
          <w:sz w:val="28"/>
          <w:szCs w:val="28"/>
        </w:rPr>
        <w:t>to</w:t>
      </w:r>
      <w:r w:rsidR="00245377" w:rsidRPr="00E36AD0">
        <w:rPr>
          <w:rFonts w:ascii="Garamond" w:hAnsi="Garamond"/>
          <w:color w:val="201F1E"/>
          <w:sz w:val="28"/>
          <w:szCs w:val="28"/>
        </w:rPr>
        <w:t xml:space="preserve"> the court, the parties and your solicitor. </w:t>
      </w:r>
    </w:p>
    <w:p w14:paraId="284D43BD" w14:textId="77777777" w:rsidR="00A4627E" w:rsidRPr="00E36AD0" w:rsidRDefault="00A4627E" w:rsidP="00A4627E">
      <w:pPr>
        <w:pStyle w:val="NormalWeb"/>
        <w:spacing w:before="0" w:after="0"/>
        <w:ind w:left="720"/>
        <w:jc w:val="both"/>
        <w:textAlignment w:val="baseline"/>
        <w:rPr>
          <w:rFonts w:ascii="Garamond" w:hAnsi="Garamond"/>
          <w:color w:val="201F1E"/>
          <w:sz w:val="28"/>
          <w:szCs w:val="28"/>
        </w:rPr>
      </w:pPr>
    </w:p>
    <w:p w14:paraId="52BCEAB2" w14:textId="372C7D22" w:rsidR="00E36AD0" w:rsidRDefault="0028333F" w:rsidP="00A4627E">
      <w:pPr>
        <w:pStyle w:val="NormalWeb"/>
        <w:numPr>
          <w:ilvl w:val="0"/>
          <w:numId w:val="4"/>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 xml:space="preserve"> </w:t>
      </w:r>
      <w:r w:rsidR="00245377" w:rsidRPr="00E36AD0">
        <w:rPr>
          <w:rFonts w:ascii="Garamond" w:hAnsi="Garamond"/>
          <w:color w:val="201F1E"/>
          <w:sz w:val="28"/>
          <w:szCs w:val="28"/>
        </w:rPr>
        <w:t>W</w:t>
      </w:r>
      <w:r w:rsidR="00E3359D" w:rsidRPr="00E36AD0">
        <w:rPr>
          <w:rFonts w:ascii="Garamond" w:hAnsi="Garamond"/>
          <w:color w:val="201F1E"/>
          <w:sz w:val="28"/>
          <w:szCs w:val="28"/>
        </w:rPr>
        <w:t>here possible,</w:t>
      </w:r>
      <w:r w:rsidRPr="00E36AD0">
        <w:rPr>
          <w:rFonts w:ascii="Garamond" w:hAnsi="Garamond"/>
          <w:color w:val="201F1E"/>
          <w:sz w:val="28"/>
          <w:szCs w:val="28"/>
        </w:rPr>
        <w:t xml:space="preserve"> </w:t>
      </w:r>
      <w:r w:rsidR="00E36AD0" w:rsidRPr="00E36AD0">
        <w:rPr>
          <w:rFonts w:ascii="Garamond" w:hAnsi="Garamond"/>
          <w:color w:val="201F1E"/>
          <w:sz w:val="28"/>
          <w:szCs w:val="28"/>
        </w:rPr>
        <w:t xml:space="preserve">you </w:t>
      </w:r>
      <w:r w:rsidRPr="00E36AD0">
        <w:rPr>
          <w:rFonts w:ascii="Garamond" w:hAnsi="Garamond"/>
          <w:color w:val="201F1E"/>
          <w:sz w:val="28"/>
          <w:szCs w:val="28"/>
        </w:rPr>
        <w:t>took instructions</w:t>
      </w:r>
      <w:r w:rsidR="00E3359D" w:rsidRPr="00E36AD0">
        <w:rPr>
          <w:rFonts w:ascii="Garamond" w:hAnsi="Garamond"/>
          <w:color w:val="201F1E"/>
          <w:sz w:val="28"/>
          <w:szCs w:val="28"/>
        </w:rPr>
        <w:t xml:space="preserve"> </w:t>
      </w:r>
      <w:r w:rsidRPr="00E36AD0">
        <w:rPr>
          <w:rFonts w:ascii="Garamond" w:hAnsi="Garamond"/>
          <w:color w:val="201F1E"/>
          <w:sz w:val="28"/>
          <w:szCs w:val="28"/>
        </w:rPr>
        <w:t xml:space="preserve">from your lay client in relation </w:t>
      </w:r>
      <w:r w:rsidR="00CC20AC" w:rsidRPr="00E36AD0">
        <w:rPr>
          <w:rFonts w:ascii="Garamond" w:hAnsi="Garamond"/>
          <w:color w:val="201F1E"/>
          <w:sz w:val="28"/>
          <w:szCs w:val="28"/>
        </w:rPr>
        <w:t xml:space="preserve">to </w:t>
      </w:r>
      <w:r w:rsidR="00245377" w:rsidRPr="00E36AD0">
        <w:rPr>
          <w:rFonts w:ascii="Garamond" w:hAnsi="Garamond"/>
          <w:color w:val="201F1E"/>
          <w:sz w:val="28"/>
          <w:szCs w:val="28"/>
        </w:rPr>
        <w:t xml:space="preserve">their </w:t>
      </w:r>
      <w:r w:rsidRPr="00E36AD0">
        <w:rPr>
          <w:rFonts w:ascii="Garamond" w:hAnsi="Garamond"/>
          <w:color w:val="201F1E"/>
          <w:sz w:val="28"/>
          <w:szCs w:val="28"/>
        </w:rPr>
        <w:t>consent or, if so instructed, to adjourn or not to sit on particular days</w:t>
      </w:r>
      <w:r w:rsidR="00E36AD0" w:rsidRPr="00E36AD0">
        <w:rPr>
          <w:rFonts w:ascii="Garamond" w:hAnsi="Garamond"/>
          <w:color w:val="201F1E"/>
          <w:sz w:val="28"/>
          <w:szCs w:val="28"/>
        </w:rPr>
        <w:t>.</w:t>
      </w:r>
    </w:p>
    <w:p w14:paraId="40C9422A" w14:textId="77777777" w:rsidR="00A4627E" w:rsidRPr="00E36AD0" w:rsidRDefault="00A4627E" w:rsidP="00A4627E">
      <w:pPr>
        <w:pStyle w:val="NormalWeb"/>
        <w:spacing w:before="0" w:after="0"/>
        <w:jc w:val="both"/>
        <w:textAlignment w:val="baseline"/>
        <w:rPr>
          <w:rFonts w:ascii="Garamond" w:hAnsi="Garamond"/>
          <w:color w:val="201F1E"/>
          <w:sz w:val="28"/>
          <w:szCs w:val="28"/>
        </w:rPr>
      </w:pPr>
    </w:p>
    <w:p w14:paraId="353DCC38" w14:textId="7AF12BDD" w:rsidR="00911B31" w:rsidRDefault="00911B31" w:rsidP="00A4627E">
      <w:pPr>
        <w:pStyle w:val="NormalWeb"/>
        <w:numPr>
          <w:ilvl w:val="0"/>
          <w:numId w:val="4"/>
        </w:numPr>
        <w:spacing w:before="0" w:after="0"/>
        <w:jc w:val="both"/>
        <w:textAlignment w:val="baseline"/>
        <w:rPr>
          <w:rFonts w:ascii="Garamond" w:hAnsi="Garamond"/>
          <w:color w:val="201F1E"/>
          <w:sz w:val="28"/>
          <w:szCs w:val="28"/>
        </w:rPr>
      </w:pPr>
      <w:r w:rsidRPr="00E36AD0">
        <w:rPr>
          <w:rFonts w:ascii="Garamond" w:hAnsi="Garamond"/>
          <w:color w:val="201F1E"/>
          <w:sz w:val="28"/>
          <w:szCs w:val="28"/>
        </w:rPr>
        <w:t>You took this decision only after having carefully considered your professional duties and the BSB’s guidance</w:t>
      </w:r>
      <w:r w:rsidR="00CC20AC" w:rsidRPr="00E36AD0">
        <w:rPr>
          <w:rFonts w:ascii="Garamond" w:hAnsi="Garamond"/>
          <w:color w:val="201F1E"/>
          <w:sz w:val="28"/>
          <w:szCs w:val="28"/>
        </w:rPr>
        <w:t>.</w:t>
      </w:r>
    </w:p>
    <w:p w14:paraId="112CA7D6" w14:textId="77777777" w:rsidR="00A4627E" w:rsidRPr="00E36AD0" w:rsidRDefault="00A4627E" w:rsidP="00A4627E">
      <w:pPr>
        <w:pStyle w:val="NormalWeb"/>
        <w:spacing w:before="0" w:after="0"/>
        <w:jc w:val="both"/>
        <w:textAlignment w:val="baseline"/>
        <w:rPr>
          <w:rFonts w:ascii="Garamond" w:hAnsi="Garamond"/>
          <w:color w:val="201F1E"/>
          <w:sz w:val="28"/>
          <w:szCs w:val="28"/>
        </w:rPr>
      </w:pPr>
    </w:p>
    <w:p w14:paraId="1ED062F4" w14:textId="3EF2B690" w:rsidR="00911B31" w:rsidRPr="00E36AD0" w:rsidRDefault="00CC20AC" w:rsidP="00A4627E">
      <w:pPr>
        <w:pStyle w:val="NormalWeb"/>
        <w:spacing w:before="0" w:after="0"/>
        <w:ind w:left="720"/>
        <w:jc w:val="both"/>
        <w:textAlignment w:val="baseline"/>
        <w:rPr>
          <w:rFonts w:ascii="Garamond" w:hAnsi="Garamond"/>
          <w:color w:val="201F1E"/>
          <w:sz w:val="28"/>
          <w:szCs w:val="28"/>
          <w:lang w:val="en-GB"/>
        </w:rPr>
      </w:pPr>
      <w:r w:rsidRPr="00E36AD0">
        <w:rPr>
          <w:rFonts w:ascii="Garamond" w:hAnsi="Garamond"/>
          <w:color w:val="201F1E"/>
          <w:sz w:val="28"/>
          <w:szCs w:val="28"/>
        </w:rPr>
        <w:t xml:space="preserve">4. </w:t>
      </w:r>
      <w:r w:rsidR="00911B31" w:rsidRPr="00E36AD0">
        <w:rPr>
          <w:rFonts w:ascii="Garamond" w:hAnsi="Garamond"/>
          <w:color w:val="201F1E"/>
          <w:sz w:val="28"/>
          <w:szCs w:val="28"/>
        </w:rPr>
        <w:t>H</w:t>
      </w:r>
      <w:r w:rsidR="00911B31" w:rsidRPr="00E36AD0">
        <w:rPr>
          <w:rFonts w:ascii="Garamond" w:hAnsi="Garamond"/>
          <w:color w:val="201F1E"/>
          <w:sz w:val="28"/>
          <w:szCs w:val="28"/>
          <w:lang w:val="en-GB"/>
        </w:rPr>
        <w:t xml:space="preserve">ow the judge proceeds </w:t>
      </w:r>
      <w:proofErr w:type="gramStart"/>
      <w:r w:rsidR="00911B31" w:rsidRPr="00E36AD0">
        <w:rPr>
          <w:rFonts w:ascii="Garamond" w:hAnsi="Garamond"/>
          <w:color w:val="201F1E"/>
          <w:sz w:val="28"/>
          <w:szCs w:val="28"/>
          <w:lang w:val="en-GB"/>
        </w:rPr>
        <w:t>is</w:t>
      </w:r>
      <w:proofErr w:type="gramEnd"/>
      <w:r w:rsidR="00911B31" w:rsidRPr="00E36AD0">
        <w:rPr>
          <w:rFonts w:ascii="Garamond" w:hAnsi="Garamond"/>
          <w:color w:val="201F1E"/>
          <w:sz w:val="28"/>
          <w:szCs w:val="28"/>
          <w:lang w:val="en-GB"/>
        </w:rPr>
        <w:t xml:space="preserve"> a matter for them, and if they consider it appropriate to refer the matter to the Senior Presiding Judge’s Office or the Bar Standards Board:</w:t>
      </w:r>
    </w:p>
    <w:p w14:paraId="3B70DF9E" w14:textId="77777777" w:rsidR="00911B31" w:rsidRPr="00E36AD0" w:rsidRDefault="00911B31" w:rsidP="00A4627E">
      <w:pPr>
        <w:pStyle w:val="NormalWeb"/>
        <w:spacing w:before="0" w:after="0"/>
        <w:ind w:left="1080"/>
        <w:jc w:val="both"/>
        <w:rPr>
          <w:rFonts w:ascii="Garamond" w:hAnsi="Garamond"/>
          <w:color w:val="201F1E"/>
          <w:sz w:val="28"/>
          <w:szCs w:val="28"/>
          <w:lang w:val="en-GB"/>
        </w:rPr>
      </w:pPr>
      <w:r w:rsidRPr="00E36AD0">
        <w:rPr>
          <w:rFonts w:ascii="Garamond" w:hAnsi="Garamond"/>
          <w:color w:val="201F1E"/>
          <w:sz w:val="28"/>
          <w:szCs w:val="28"/>
          <w:lang w:val="en-GB"/>
        </w:rPr>
        <w:t>(</w:t>
      </w:r>
      <w:proofErr w:type="spellStart"/>
      <w:r w:rsidRPr="00E36AD0">
        <w:rPr>
          <w:rFonts w:ascii="Garamond" w:hAnsi="Garamond"/>
          <w:color w:val="201F1E"/>
          <w:sz w:val="28"/>
          <w:szCs w:val="28"/>
          <w:lang w:val="en-GB"/>
        </w:rPr>
        <w:t>i</w:t>
      </w:r>
      <w:proofErr w:type="spellEnd"/>
      <w:r w:rsidRPr="00E36AD0">
        <w:rPr>
          <w:rFonts w:ascii="Garamond" w:hAnsi="Garamond"/>
          <w:color w:val="201F1E"/>
          <w:sz w:val="28"/>
          <w:szCs w:val="28"/>
          <w:lang w:val="en-GB"/>
        </w:rPr>
        <w:t>) You do not intend to say anything to seek to dissuade the judge from that course, but</w:t>
      </w:r>
    </w:p>
    <w:p w14:paraId="743F73FB" w14:textId="77777777" w:rsidR="00911B31" w:rsidRPr="00E36AD0" w:rsidRDefault="00911B31" w:rsidP="00A4627E">
      <w:pPr>
        <w:pStyle w:val="NormalWeb"/>
        <w:spacing w:before="0" w:after="0"/>
        <w:ind w:left="1080"/>
        <w:jc w:val="both"/>
        <w:rPr>
          <w:rFonts w:ascii="Garamond" w:hAnsi="Garamond"/>
          <w:color w:val="201F1E"/>
          <w:sz w:val="28"/>
          <w:szCs w:val="28"/>
          <w:lang w:val="en-GB"/>
        </w:rPr>
      </w:pPr>
      <w:r w:rsidRPr="00E36AD0">
        <w:rPr>
          <w:rFonts w:ascii="Garamond" w:hAnsi="Garamond"/>
          <w:color w:val="201F1E"/>
          <w:sz w:val="28"/>
          <w:szCs w:val="28"/>
          <w:lang w:val="en-GB"/>
        </w:rPr>
        <w:t>(ii) You would however be grateful for confirmation one way or the other so that you can inform the CBA and BMIF.</w:t>
      </w:r>
    </w:p>
    <w:p w14:paraId="41515E3E" w14:textId="77777777" w:rsidR="00911B31" w:rsidRPr="0011218A" w:rsidRDefault="00911B31" w:rsidP="00911B31">
      <w:pPr>
        <w:pStyle w:val="NormalWeb"/>
        <w:spacing w:line="276" w:lineRule="auto"/>
        <w:textAlignment w:val="baseline"/>
        <w:rPr>
          <w:rFonts w:ascii="Garamond" w:hAnsi="Garamond"/>
          <w:strike/>
          <w:color w:val="201F1E"/>
          <w:sz w:val="28"/>
          <w:szCs w:val="28"/>
        </w:rPr>
      </w:pPr>
    </w:p>
    <w:p w14:paraId="3DE5A568" w14:textId="77777777" w:rsidR="004A6842" w:rsidRDefault="004A6842"/>
    <w:sectPr w:rsidR="004A6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B4E26"/>
    <w:multiLevelType w:val="hybridMultilevel"/>
    <w:tmpl w:val="240063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112DA"/>
    <w:multiLevelType w:val="hybridMultilevel"/>
    <w:tmpl w:val="F946A6D8"/>
    <w:lvl w:ilvl="0" w:tplc="16F04D6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0D522C4"/>
    <w:multiLevelType w:val="hybridMultilevel"/>
    <w:tmpl w:val="BE763F46"/>
    <w:lvl w:ilvl="0" w:tplc="A798F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E11FAF"/>
    <w:multiLevelType w:val="hybridMultilevel"/>
    <w:tmpl w:val="4522A8AA"/>
    <w:lvl w:ilvl="0" w:tplc="2A903846">
      <w:start w:val="4"/>
      <w:numFmt w:val="bullet"/>
      <w:lvlText w:val="-"/>
      <w:lvlJc w:val="left"/>
      <w:pPr>
        <w:ind w:left="1080" w:hanging="360"/>
      </w:pPr>
      <w:rPr>
        <w:rFonts w:ascii="Palatino Linotype" w:eastAsiaTheme="minorHAnsi"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25829976">
    <w:abstractNumId w:val="0"/>
  </w:num>
  <w:num w:numId="2" w16cid:durableId="845050185">
    <w:abstractNumId w:val="1"/>
  </w:num>
  <w:num w:numId="3" w16cid:durableId="2081516223">
    <w:abstractNumId w:val="3"/>
  </w:num>
  <w:num w:numId="4" w16cid:durableId="1449471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31"/>
    <w:rsid w:val="00076CA6"/>
    <w:rsid w:val="00207C5B"/>
    <w:rsid w:val="00245377"/>
    <w:rsid w:val="0028333F"/>
    <w:rsid w:val="004A6842"/>
    <w:rsid w:val="004B2548"/>
    <w:rsid w:val="005D3FE0"/>
    <w:rsid w:val="00665AD8"/>
    <w:rsid w:val="00791BF0"/>
    <w:rsid w:val="00911B31"/>
    <w:rsid w:val="009E7F51"/>
    <w:rsid w:val="00A4627E"/>
    <w:rsid w:val="00A93FCE"/>
    <w:rsid w:val="00CC20AC"/>
    <w:rsid w:val="00D10B9F"/>
    <w:rsid w:val="00D4016A"/>
    <w:rsid w:val="00E02601"/>
    <w:rsid w:val="00E23D4D"/>
    <w:rsid w:val="00E3359D"/>
    <w:rsid w:val="00E36AD0"/>
    <w:rsid w:val="00EB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6C9A"/>
  <w15:chartTrackingRefBased/>
  <w15:docId w15:val="{0CD5F252-0DAE-407B-A8D2-B91F8CC2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3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31"/>
    <w:pPr>
      <w:ind w:left="720"/>
      <w:contextualSpacing/>
    </w:pPr>
  </w:style>
  <w:style w:type="paragraph" w:styleId="NormalWeb">
    <w:name w:val="Normal (Web)"/>
    <w:basedOn w:val="Normal"/>
    <w:uiPriority w:val="99"/>
    <w:unhideWhenUsed/>
    <w:rsid w:val="00911B31"/>
    <w:pPr>
      <w:spacing w:before="100" w:beforeAutospacing="1" w:after="100" w:afterAutospacing="1"/>
    </w:pPr>
  </w:style>
  <w:style w:type="character" w:styleId="Hyperlink">
    <w:name w:val="Hyperlink"/>
    <w:basedOn w:val="DefaultParagraphFont"/>
    <w:uiPriority w:val="99"/>
    <w:unhideWhenUsed/>
    <w:rsid w:val="00911B31"/>
    <w:rPr>
      <w:color w:val="0563C1" w:themeColor="hyperlink"/>
      <w:u w:val="single"/>
    </w:rPr>
  </w:style>
  <w:style w:type="paragraph" w:customStyle="1" w:styleId="Default">
    <w:name w:val="Default"/>
    <w:rsid w:val="00A93F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markedcontent">
    <w:name w:val="markedcontent"/>
    <w:basedOn w:val="DefaultParagraphFont"/>
    <w:rsid w:val="0028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Wibberley</dc:creator>
  <cp:keywords/>
  <dc:description/>
  <cp:lastModifiedBy>Aaron Dolan</cp:lastModifiedBy>
  <cp:revision>3</cp:revision>
  <dcterms:created xsi:type="dcterms:W3CDTF">2024-03-17T13:22:00Z</dcterms:created>
  <dcterms:modified xsi:type="dcterms:W3CDTF">2024-03-17T13:26:00Z</dcterms:modified>
</cp:coreProperties>
</file>