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E25D" w14:textId="63CA5944" w:rsidR="00B80941" w:rsidRPr="00AD08F7" w:rsidRDefault="00AD3DF4" w:rsidP="0069324F">
      <w:pPr>
        <w:rPr>
          <w:rFonts w:asciiTheme="minorHAnsi" w:hAnsiTheme="minorHAnsi" w:cs="Arial"/>
          <w:vanish/>
          <w:color w:val="FF0000"/>
        </w:rPr>
      </w:pPr>
      <w:r w:rsidRPr="0048746C">
        <w:rPr>
          <w:rFonts w:asciiTheme="minorHAnsi" w:hAnsiTheme="minorHAnsi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0FC209" wp14:editId="155B89A3">
                <wp:simplePos x="0" y="0"/>
                <wp:positionH relativeFrom="margin">
                  <wp:posOffset>28575</wp:posOffset>
                </wp:positionH>
                <wp:positionV relativeFrom="paragraph">
                  <wp:posOffset>0</wp:posOffset>
                </wp:positionV>
                <wp:extent cx="6305550" cy="457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A90B0" w14:textId="1A213055" w:rsidR="0048746C" w:rsidRPr="00232722" w:rsidRDefault="00232722" w:rsidP="0048746C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4F81BD" w:themeColor="accent1"/>
                                <w:sz w:val="44"/>
                                <w:szCs w:val="44"/>
                              </w:rPr>
                            </w:pPr>
                            <w:r w:rsidRPr="00232722">
                              <w:rPr>
                                <w:rFonts w:asciiTheme="minorHAnsi" w:hAnsiTheme="minorHAnsi"/>
                                <w:b/>
                                <w:color w:val="0070C0"/>
                                <w:sz w:val="44"/>
                                <w:szCs w:val="44"/>
                              </w:rPr>
                              <w:t>Costs a</w:t>
                            </w:r>
                            <w:r w:rsidR="0048746C" w:rsidRPr="00232722">
                              <w:rPr>
                                <w:rFonts w:asciiTheme="minorHAnsi" w:hAnsiTheme="minorHAnsi"/>
                                <w:b/>
                                <w:color w:val="0070C0"/>
                                <w:sz w:val="44"/>
                                <w:szCs w:val="44"/>
                              </w:rPr>
                              <w:t>pplications against convicted defendants</w:t>
                            </w:r>
                          </w:p>
                          <w:p w14:paraId="5195F894" w14:textId="51D58B6B" w:rsidR="0048746C" w:rsidRDefault="004874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FC2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0;width:496.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" stroked="f">
                <v:textbox>
                  <w:txbxContent>
                    <w:p w14:paraId="66FA90B0" w14:textId="1A213055" w:rsidR="0048746C" w:rsidRPr="00232722" w:rsidRDefault="00232722" w:rsidP="0048746C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4F81BD" w:themeColor="accent1"/>
                          <w:sz w:val="44"/>
                          <w:szCs w:val="44"/>
                        </w:rPr>
                      </w:pPr>
                      <w:r w:rsidRPr="00232722">
                        <w:rPr>
                          <w:rFonts w:asciiTheme="minorHAnsi" w:hAnsiTheme="minorHAnsi"/>
                          <w:b/>
                          <w:color w:val="0070C0"/>
                          <w:sz w:val="44"/>
                          <w:szCs w:val="44"/>
                        </w:rPr>
                        <w:t>Costs a</w:t>
                      </w:r>
                      <w:r w:rsidR="0048746C" w:rsidRPr="00232722">
                        <w:rPr>
                          <w:rFonts w:asciiTheme="minorHAnsi" w:hAnsiTheme="minorHAnsi"/>
                          <w:b/>
                          <w:color w:val="0070C0"/>
                          <w:sz w:val="44"/>
                          <w:szCs w:val="44"/>
                        </w:rPr>
                        <w:t>pplications against convicted defendants</w:t>
                      </w:r>
                    </w:p>
                    <w:p w14:paraId="5195F894" w14:textId="51D58B6B" w:rsidR="0048746C" w:rsidRDefault="0048746C"/>
                  </w:txbxContent>
                </v:textbox>
                <w10:wrap type="square" anchorx="margin"/>
              </v:shape>
            </w:pict>
          </mc:Fallback>
        </mc:AlternateContent>
      </w:r>
      <w:r w:rsidR="00232722" w:rsidRPr="00AD08F7">
        <w:rPr>
          <w:rFonts w:asciiTheme="minorHAnsi" w:hAnsiTheme="minorHAns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9726186" wp14:editId="61866E0F">
            <wp:simplePos x="0" y="0"/>
            <wp:positionH relativeFrom="column">
              <wp:posOffset>453390</wp:posOffset>
            </wp:positionH>
            <wp:positionV relativeFrom="paragraph">
              <wp:posOffset>481330</wp:posOffset>
            </wp:positionV>
            <wp:extent cx="622300" cy="127000"/>
            <wp:effectExtent l="0" t="0" r="6350" b="6350"/>
            <wp:wrapNone/>
            <wp:docPr id="2" name="Picture 2" descr="C:\Users\Mark.Trolley\AppData\Local\Microsoft\Windows\INetCache\Content.MSO\92582C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.Trolley\AppData\Local\Microsoft\Windows\INetCache\Content.MSO\92582C3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722" w:rsidRPr="00AD08F7">
        <w:rPr>
          <w:rFonts w:asciiTheme="minorHAnsi" w:hAnsiTheme="minorHAnsi"/>
          <w:noProof/>
          <w:snapToGrid/>
          <w:sz w:val="26"/>
          <w:szCs w:val="26"/>
          <w:lang w:eastAsia="en-GB"/>
        </w:rPr>
        <w:drawing>
          <wp:anchor distT="0" distB="0" distL="114300" distR="114300" simplePos="0" relativeHeight="251660288" behindDoc="0" locked="0" layoutInCell="1" allowOverlap="1" wp14:anchorId="510594F5" wp14:editId="4A893435">
            <wp:simplePos x="0" y="0"/>
            <wp:positionH relativeFrom="margin">
              <wp:posOffset>5955665</wp:posOffset>
            </wp:positionH>
            <wp:positionV relativeFrom="paragraph">
              <wp:posOffset>-249554</wp:posOffset>
            </wp:positionV>
            <wp:extent cx="601231" cy="781050"/>
            <wp:effectExtent l="0" t="0" r="8890" b="0"/>
            <wp:wrapNone/>
            <wp:docPr id="1" name="Picture 1" descr="C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32" cy="78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941" w:rsidRPr="00AD08F7">
        <w:rPr>
          <w:rFonts w:asciiTheme="minorHAnsi" w:hAnsiTheme="minorHAnsi" w:cs="Arial"/>
          <w:vanish/>
          <w:color w:val="FF0000"/>
        </w:rPr>
        <w:t>- Confirm the business need and contribution to the business strategy</w:t>
      </w:r>
    </w:p>
    <w:p w14:paraId="4D36CF05" w14:textId="77777777" w:rsidR="00B80941" w:rsidRPr="00AD08F7" w:rsidRDefault="00B80941" w:rsidP="00B80941">
      <w:pPr>
        <w:pStyle w:val="Bullet"/>
        <w:numPr>
          <w:ilvl w:val="0"/>
          <w:numId w:val="0"/>
        </w:numPr>
        <w:rPr>
          <w:rFonts w:asciiTheme="minorHAnsi" w:hAnsiTheme="minorHAnsi" w:cs="Arial"/>
          <w:vanish/>
          <w:color w:val="FF0000"/>
          <w:sz w:val="22"/>
        </w:rPr>
      </w:pPr>
      <w:r w:rsidRPr="00AD08F7">
        <w:rPr>
          <w:rFonts w:asciiTheme="minorHAnsi" w:hAnsiTheme="minorHAnsi" w:cs="Arial"/>
          <w:vanish/>
          <w:color w:val="FF0000"/>
          <w:sz w:val="22"/>
        </w:rPr>
        <w:t>- Secure commitment of stakeholders and senior managers</w:t>
      </w:r>
    </w:p>
    <w:p w14:paraId="4AB0C65C" w14:textId="77777777" w:rsidR="00B80941" w:rsidRPr="00AD08F7" w:rsidRDefault="00B80941" w:rsidP="00B80941">
      <w:pPr>
        <w:pStyle w:val="Bullet"/>
        <w:numPr>
          <w:ilvl w:val="0"/>
          <w:numId w:val="0"/>
        </w:numPr>
        <w:rPr>
          <w:rFonts w:asciiTheme="minorHAnsi" w:hAnsiTheme="minorHAnsi" w:cs="Arial"/>
          <w:vanish/>
          <w:color w:val="FF0000"/>
          <w:sz w:val="22"/>
        </w:rPr>
      </w:pPr>
      <w:r w:rsidRPr="00AD08F7">
        <w:rPr>
          <w:rFonts w:asciiTheme="minorHAnsi" w:hAnsiTheme="minorHAnsi" w:cs="Arial"/>
          <w:vanish/>
          <w:color w:val="FF0000"/>
          <w:sz w:val="22"/>
        </w:rPr>
        <w:t>- Ensure consideration of a wide range of options at an early stage</w:t>
      </w:r>
    </w:p>
    <w:p w14:paraId="65DC1623" w14:textId="60D0A814" w:rsidR="00B4562E" w:rsidRPr="00AD08F7" w:rsidRDefault="0021656A" w:rsidP="00B4562E">
      <w:pPr>
        <w:rPr>
          <w:rFonts w:asciiTheme="minorHAnsi" w:eastAsia="Calibri" w:hAnsiTheme="minorHAnsi"/>
          <w:b/>
          <w:bCs/>
          <w:szCs w:val="22"/>
        </w:rPr>
      </w:pPr>
      <w:r w:rsidRPr="00AD08F7">
        <w:rPr>
          <w:rFonts w:asciiTheme="minorHAnsi" w:hAnsiTheme="minorHAnsi"/>
          <w:vanish/>
          <w:color w:val="FF0000"/>
          <w:sz w:val="26"/>
          <w:szCs w:val="26"/>
        </w:rPr>
        <w:t xml:space="preserve"> </w:t>
      </w:r>
      <w:r w:rsidR="00B80941" w:rsidRPr="00AD08F7">
        <w:rPr>
          <w:rFonts w:asciiTheme="minorHAnsi" w:hAnsiTheme="minorHAnsi"/>
          <w:vanish/>
          <w:color w:val="FF0000"/>
          <w:sz w:val="26"/>
          <w:szCs w:val="26"/>
        </w:rPr>
        <w:t>(A section heading.  All text should go under the sub-heads.)</w:t>
      </w:r>
      <w:r w:rsidR="00314BC4" w:rsidRPr="00AD08F7">
        <w:rPr>
          <w:rFonts w:asciiTheme="minorHAnsi" w:eastAsia="Calibri" w:hAnsiTheme="minorHAnsi"/>
          <w:bCs/>
          <w:szCs w:val="22"/>
        </w:rPr>
        <w:t xml:space="preserve"> </w:t>
      </w:r>
    </w:p>
    <w:p w14:paraId="392DA4EC" w14:textId="6C544761" w:rsidR="0048746C" w:rsidRDefault="0048746C" w:rsidP="0048746C">
      <w:pPr>
        <w:pStyle w:val="ListParagraph"/>
        <w:spacing w:line="276" w:lineRule="auto"/>
        <w:jc w:val="both"/>
        <w:rPr>
          <w:rFonts w:asciiTheme="minorHAnsi" w:hAnsiTheme="minorHAnsi"/>
          <w:color w:val="000000" w:themeColor="text1"/>
          <w:szCs w:val="22"/>
        </w:rPr>
      </w:pPr>
    </w:p>
    <w:p w14:paraId="3830E4C2" w14:textId="3ED67E17" w:rsidR="00761A31" w:rsidRPr="00792B92" w:rsidRDefault="00761A31" w:rsidP="00761A31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spacing w:line="276" w:lineRule="auto"/>
        <w:ind w:right="200"/>
        <w:jc w:val="both"/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</w:pPr>
      <w:r w:rsidRPr="00792B92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CPS policy is to apply for costs against convicted defendants or unsuccessful appellants under s18 of the Prosecution of Offences 1985, unless the circumstances of a specific case mean that such an application would lack merit or an order for costs would be impractical. </w:t>
      </w:r>
    </w:p>
    <w:p w14:paraId="27252659" w14:textId="77777777" w:rsidR="00271029" w:rsidRPr="00271029" w:rsidRDefault="00271029" w:rsidP="00271029">
      <w:pPr>
        <w:widowControl w:val="0"/>
        <w:tabs>
          <w:tab w:val="left" w:pos="840"/>
        </w:tabs>
        <w:spacing w:line="276" w:lineRule="auto"/>
        <w:ind w:right="200"/>
        <w:rPr>
          <w:rFonts w:ascii="Calibri" w:eastAsia="Calibri" w:hAnsi="Calibri" w:cs="Calibri"/>
          <w:bCs/>
          <w:spacing w:val="1"/>
          <w:highlight w:val="yellow"/>
          <w14:reflection w14:blurRad="0" w14:stA="100000" w14:stPos="0" w14:endA="0" w14:endPos="0" w14:dist="0" w14:dir="0" w14:fadeDir="0" w14:sx="0" w14:sy="0" w14:kx="0" w14:ky="0" w14:algn="b"/>
        </w:rPr>
      </w:pPr>
    </w:p>
    <w:p w14:paraId="573CEF8F" w14:textId="4A2B9563" w:rsidR="00271029" w:rsidRPr="008265BA" w:rsidRDefault="00271029" w:rsidP="008265BA">
      <w:pPr>
        <w:pStyle w:val="ListParagraph"/>
        <w:widowControl w:val="0"/>
        <w:tabs>
          <w:tab w:val="left" w:pos="840"/>
        </w:tabs>
        <w:spacing w:line="276" w:lineRule="auto"/>
        <w:ind w:right="200"/>
        <w:jc w:val="both"/>
        <w:rPr>
          <w:rFonts w:asciiTheme="minorHAnsi" w:hAnsiTheme="minorHAnsi"/>
          <w:color w:val="000000" w:themeColor="text1"/>
          <w:szCs w:val="22"/>
        </w:rPr>
      </w:pPr>
      <w:r w:rsidRPr="00C64F87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The </w:t>
      </w:r>
      <w:r w:rsidR="00616363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application for </w:t>
      </w:r>
      <w:r w:rsidR="003A0DF0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prosecution costs </w:t>
      </w:r>
      <w:r w:rsidR="00DA67F3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must relate solely to </w:t>
      </w:r>
      <w:r w:rsidR="00616363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>co</w:t>
      </w:r>
      <w:r w:rsidRPr="00C64F87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sts directly incurred by the CPS in </w:t>
      </w:r>
      <w:r w:rsidR="00616363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the preparation and presentation of the case.  </w:t>
      </w:r>
      <w:r w:rsidRPr="00C64F87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>The CPS cannot benefit from the award</w:t>
      </w:r>
      <w:r w:rsidR="0085067B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>, n</w:t>
      </w:r>
      <w:r w:rsidRPr="00C64F87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>or can it be used as an indirect penalty.</w:t>
      </w:r>
      <w:r w:rsidR="008265BA" w:rsidRPr="008265BA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8265BA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</w:p>
    <w:p w14:paraId="5ED11ED8" w14:textId="77777777" w:rsidR="007B3DBF" w:rsidRPr="00C64F87" w:rsidRDefault="007B3DBF" w:rsidP="00C64F87">
      <w:pPr>
        <w:pStyle w:val="ListParagraph"/>
        <w:widowControl w:val="0"/>
        <w:tabs>
          <w:tab w:val="left" w:pos="840"/>
        </w:tabs>
        <w:spacing w:line="276" w:lineRule="auto"/>
        <w:ind w:right="200"/>
        <w:jc w:val="both"/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</w:pPr>
    </w:p>
    <w:p w14:paraId="03084DF9" w14:textId="45FA7396" w:rsidR="009B2070" w:rsidRPr="009B2070" w:rsidRDefault="00AD300F" w:rsidP="00672F51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spacing w:line="276" w:lineRule="auto"/>
        <w:ind w:right="200"/>
        <w:jc w:val="both"/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</w:pPr>
      <w:r w:rsidRPr="008265BA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>The CPS does not time-record activity on cases and cannot calculate a precise cost for each case. It would be too great an administrative burden to do so.</w:t>
      </w:r>
      <w:r w:rsidR="003A31A5" w:rsidRPr="008265BA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  The guideline rates </w:t>
      </w:r>
      <w:r w:rsidR="00BF6603" w:rsidRPr="008265BA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are therefore derived from an assessment of </w:t>
      </w:r>
      <w:r w:rsidR="000B5C43" w:rsidRPr="007B3DBF">
        <w:rPr>
          <w:rFonts w:asciiTheme="minorHAnsi" w:hAnsiTheme="minorHAnsi"/>
          <w:color w:val="000000" w:themeColor="text1"/>
          <w:szCs w:val="22"/>
        </w:rPr>
        <w:t>average staff preparation costs, including advocacy in magistrates’ courts and time spent in the Crown Court by paralegal officers/assistants.</w:t>
      </w:r>
      <w:r w:rsidR="008265BA" w:rsidRPr="008265BA">
        <w:rPr>
          <w:rFonts w:asciiTheme="minorHAnsi" w:hAnsiTheme="minorHAnsi"/>
          <w:color w:val="000000" w:themeColor="text1"/>
          <w:szCs w:val="22"/>
        </w:rPr>
        <w:t xml:space="preserve">  </w:t>
      </w:r>
      <w:r w:rsidR="009B2070" w:rsidRPr="009B2070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>Th</w:t>
      </w:r>
      <w:r w:rsidR="008265BA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is </w:t>
      </w:r>
      <w:r w:rsidR="009B2070" w:rsidRPr="009B2070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>approach was approved by the Court of Appeal in the case of R v Dickinson 2010 EWCA Crim 2143; 2011 1 Cr App R (S) 93.</w:t>
      </w:r>
    </w:p>
    <w:p w14:paraId="6B2D4FED" w14:textId="77777777" w:rsidR="003A31A5" w:rsidRPr="003A31A5" w:rsidRDefault="003A31A5" w:rsidP="003A31A5">
      <w:pPr>
        <w:pStyle w:val="ListParagraph"/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</w:pPr>
    </w:p>
    <w:p w14:paraId="730DB2F3" w14:textId="77777777" w:rsidR="005615A4" w:rsidRDefault="004A2FB8" w:rsidP="004A2FB8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spacing w:line="276" w:lineRule="auto"/>
        <w:ind w:right="200"/>
        <w:jc w:val="both"/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</w:pPr>
      <w:r w:rsidRPr="007B3DBF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The following </w:t>
      </w:r>
      <w:r w:rsidRPr="004A2FB8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guideline rates </w:t>
      </w:r>
      <w:r w:rsidRPr="007B3DBF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provide a benchmark to estimate the costs incurred by the CPS for various types of </w:t>
      </w:r>
      <w:r w:rsidRPr="004A2FB8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court </w:t>
      </w:r>
      <w:r w:rsidRPr="007B3DBF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proceedings. </w:t>
      </w:r>
      <w:r w:rsidR="005615A4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</w:p>
    <w:p w14:paraId="2201FCF5" w14:textId="77777777" w:rsidR="004F53BC" w:rsidRPr="007B3DBF" w:rsidRDefault="004F53BC" w:rsidP="004F53BC">
      <w:pPr>
        <w:ind w:left="426"/>
        <w:jc w:val="both"/>
        <w:rPr>
          <w:rFonts w:cs="Arial"/>
          <w:snapToGrid/>
          <w:szCs w:val="22"/>
        </w:rPr>
      </w:pPr>
    </w:p>
    <w:tbl>
      <w:tblPr>
        <w:tblW w:w="10190" w:type="dxa"/>
        <w:jc w:val="center"/>
        <w:tblLook w:val="04A0" w:firstRow="1" w:lastRow="0" w:firstColumn="1" w:lastColumn="0" w:noHBand="0" w:noVBand="1"/>
      </w:tblPr>
      <w:tblGrid>
        <w:gridCol w:w="2961"/>
        <w:gridCol w:w="5244"/>
        <w:gridCol w:w="1985"/>
      </w:tblGrid>
      <w:tr w:rsidR="00DE56BF" w:rsidRPr="007A6C0A" w14:paraId="7D8ADC8D" w14:textId="77777777" w:rsidTr="00D064CD">
        <w:trPr>
          <w:trHeight w:val="492"/>
          <w:jc w:val="center"/>
        </w:trPr>
        <w:tc>
          <w:tcPr>
            <w:tcW w:w="296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271FB760" w14:textId="11EF768C" w:rsidR="00DE56BF" w:rsidRPr="00DE56BF" w:rsidRDefault="00DE56BF" w:rsidP="00344FDD">
            <w:pPr>
              <w:rPr>
                <w:rFonts w:asciiTheme="minorHAnsi" w:hAnsiTheme="minorHAnsi" w:cstheme="minorHAnsi"/>
                <w:snapToGrid/>
                <w:szCs w:val="22"/>
                <w:lang w:eastAsia="en-GB"/>
              </w:rPr>
            </w:pPr>
            <w:r w:rsidRPr="00DE56BF">
              <w:rPr>
                <w:rFonts w:asciiTheme="minorHAnsi" w:hAnsiTheme="minorHAnsi" w:cstheme="minorHAnsi"/>
                <w:b/>
                <w:bCs/>
                <w:snapToGrid/>
                <w:szCs w:val="22"/>
                <w:lang w:eastAsia="en-GB"/>
              </w:rPr>
              <w:t>Magistrates' Court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8E73DF" w14:textId="7A9AFE6E" w:rsidR="00DE56BF" w:rsidRPr="008D48BE" w:rsidRDefault="00DE56BF" w:rsidP="00344FDD">
            <w:pPr>
              <w:rPr>
                <w:rFonts w:asciiTheme="minorHAnsi" w:hAnsiTheme="minorHAnsi" w:cstheme="minorHAnsi"/>
                <w:snapToGrid/>
                <w:color w:val="000000"/>
                <w:szCs w:val="22"/>
                <w:lang w:eastAsia="en-GB"/>
              </w:rPr>
            </w:pPr>
            <w:r w:rsidRPr="008D48BE">
              <w:rPr>
                <w:rFonts w:asciiTheme="minorHAnsi" w:hAnsiTheme="minorHAnsi" w:cstheme="minorHAnsi"/>
                <w:snapToGrid/>
                <w:color w:val="000000"/>
                <w:szCs w:val="22"/>
                <w:lang w:eastAsia="en-GB"/>
              </w:rPr>
              <w:t>Early Guilty Plea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2CC"/>
            <w:noWrap/>
            <w:vAlign w:val="center"/>
            <w:hideMark/>
          </w:tcPr>
          <w:p w14:paraId="0C002B54" w14:textId="77777777" w:rsidR="00DE56BF" w:rsidRPr="008D48BE" w:rsidRDefault="00DE56BF" w:rsidP="00344FDD">
            <w:pPr>
              <w:jc w:val="center"/>
              <w:rPr>
                <w:rFonts w:asciiTheme="minorHAnsi" w:hAnsiTheme="minorHAnsi" w:cstheme="minorHAnsi"/>
                <w:snapToGrid/>
                <w:color w:val="000000"/>
                <w:szCs w:val="22"/>
                <w:lang w:eastAsia="en-GB"/>
              </w:rPr>
            </w:pPr>
            <w:r w:rsidRPr="008D48BE">
              <w:rPr>
                <w:rFonts w:asciiTheme="minorHAnsi" w:hAnsiTheme="minorHAnsi" w:cstheme="minorHAnsi"/>
                <w:snapToGrid/>
                <w:color w:val="000000"/>
                <w:szCs w:val="22"/>
                <w:lang w:eastAsia="en-GB"/>
              </w:rPr>
              <w:t>£85</w:t>
            </w:r>
          </w:p>
        </w:tc>
      </w:tr>
      <w:tr w:rsidR="00DE56BF" w:rsidRPr="007A6C0A" w14:paraId="1DC836E7" w14:textId="77777777" w:rsidTr="00D064CD">
        <w:trPr>
          <w:trHeight w:val="414"/>
          <w:jc w:val="center"/>
        </w:trPr>
        <w:tc>
          <w:tcPr>
            <w:tcW w:w="2961" w:type="dxa"/>
            <w:vMerge/>
            <w:tcBorders>
              <w:left w:val="single" w:sz="6" w:space="0" w:color="auto"/>
              <w:right w:val="nil"/>
            </w:tcBorders>
            <w:shd w:val="clear" w:color="auto" w:fill="DBE5F1" w:themeFill="accent1" w:themeFillTint="33"/>
          </w:tcPr>
          <w:p w14:paraId="6B73E40D" w14:textId="77777777" w:rsidR="00DE56BF" w:rsidRPr="008D48BE" w:rsidRDefault="00DE56BF" w:rsidP="00344FDD">
            <w:pPr>
              <w:rPr>
                <w:rFonts w:asciiTheme="minorHAnsi" w:hAnsiTheme="minorHAnsi" w:cstheme="minorHAnsi"/>
                <w:snapToGrid/>
                <w:color w:val="000000"/>
                <w:szCs w:val="22"/>
                <w:lang w:eastAsia="en-GB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FFFFFF"/>
            <w:vAlign w:val="center"/>
          </w:tcPr>
          <w:p w14:paraId="533BFF6A" w14:textId="7D74231C" w:rsidR="00DE56BF" w:rsidRPr="008D48BE" w:rsidRDefault="00DE56BF" w:rsidP="00344FDD">
            <w:pPr>
              <w:rPr>
                <w:rFonts w:asciiTheme="minorHAnsi" w:hAnsiTheme="minorHAnsi" w:cstheme="minorHAnsi"/>
                <w:snapToGrid/>
                <w:color w:val="000000"/>
                <w:szCs w:val="22"/>
                <w:lang w:eastAsia="en-GB"/>
              </w:rPr>
            </w:pPr>
            <w:r w:rsidRPr="008D48BE">
              <w:rPr>
                <w:rFonts w:asciiTheme="minorHAnsi" w:hAnsiTheme="minorHAnsi" w:cstheme="minorHAnsi"/>
                <w:snapToGrid/>
                <w:color w:val="000000"/>
                <w:szCs w:val="22"/>
                <w:lang w:eastAsia="en-GB"/>
              </w:rPr>
              <w:t>Late Guilty Plea / Cracked Trial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2CC"/>
            <w:noWrap/>
            <w:vAlign w:val="center"/>
          </w:tcPr>
          <w:p w14:paraId="3FC25874" w14:textId="77777777" w:rsidR="00DE56BF" w:rsidRPr="008D48BE" w:rsidRDefault="00DE56BF" w:rsidP="00344FDD">
            <w:pPr>
              <w:jc w:val="center"/>
              <w:rPr>
                <w:rFonts w:asciiTheme="minorHAnsi" w:hAnsiTheme="minorHAnsi" w:cstheme="minorHAnsi"/>
                <w:snapToGrid/>
                <w:color w:val="000000"/>
                <w:szCs w:val="22"/>
                <w:lang w:eastAsia="en-GB"/>
              </w:rPr>
            </w:pPr>
            <w:r w:rsidRPr="008D48BE">
              <w:rPr>
                <w:rFonts w:asciiTheme="minorHAnsi" w:hAnsiTheme="minorHAnsi" w:cstheme="minorHAnsi"/>
                <w:snapToGrid/>
                <w:color w:val="000000"/>
                <w:szCs w:val="22"/>
                <w:lang w:eastAsia="en-GB"/>
              </w:rPr>
              <w:t>£400</w:t>
            </w:r>
          </w:p>
        </w:tc>
      </w:tr>
      <w:tr w:rsidR="00DE56BF" w:rsidRPr="007A6C0A" w14:paraId="70338F68" w14:textId="77777777" w:rsidTr="00D064CD">
        <w:trPr>
          <w:trHeight w:val="437"/>
          <w:jc w:val="center"/>
        </w:trPr>
        <w:tc>
          <w:tcPr>
            <w:tcW w:w="296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 w:themeFill="accent1" w:themeFillTint="33"/>
          </w:tcPr>
          <w:p w14:paraId="708624C3" w14:textId="77777777" w:rsidR="00DE56BF" w:rsidRPr="008D48BE" w:rsidRDefault="00DE56BF" w:rsidP="00344FDD">
            <w:pPr>
              <w:rPr>
                <w:rFonts w:asciiTheme="minorHAnsi" w:hAnsiTheme="minorHAnsi" w:cstheme="minorHAnsi"/>
                <w:snapToGrid/>
                <w:color w:val="000000"/>
                <w:szCs w:val="22"/>
                <w:lang w:eastAsia="en-GB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FFFFFF"/>
            <w:noWrap/>
            <w:vAlign w:val="center"/>
          </w:tcPr>
          <w:p w14:paraId="24EF10D0" w14:textId="6DBC6BF2" w:rsidR="00DE56BF" w:rsidRPr="008D48BE" w:rsidRDefault="00DE56BF" w:rsidP="00344FDD">
            <w:pPr>
              <w:rPr>
                <w:rFonts w:asciiTheme="minorHAnsi" w:hAnsiTheme="minorHAnsi" w:cstheme="minorHAnsi"/>
                <w:snapToGrid/>
                <w:color w:val="000000"/>
                <w:szCs w:val="22"/>
                <w:lang w:eastAsia="en-GB"/>
              </w:rPr>
            </w:pPr>
            <w:r w:rsidRPr="008D48BE">
              <w:rPr>
                <w:rFonts w:asciiTheme="minorHAnsi" w:hAnsiTheme="minorHAnsi" w:cstheme="minorHAnsi"/>
                <w:snapToGrid/>
                <w:color w:val="000000"/>
                <w:szCs w:val="22"/>
                <w:lang w:eastAsia="en-GB"/>
              </w:rPr>
              <w:t>Trial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2CC"/>
            <w:noWrap/>
            <w:vAlign w:val="center"/>
          </w:tcPr>
          <w:p w14:paraId="0264CDB0" w14:textId="77777777" w:rsidR="00DE56BF" w:rsidRPr="008D48BE" w:rsidRDefault="00DE56BF" w:rsidP="00344FDD">
            <w:pPr>
              <w:jc w:val="center"/>
              <w:rPr>
                <w:rFonts w:asciiTheme="minorHAnsi" w:hAnsiTheme="minorHAnsi" w:cstheme="minorHAnsi"/>
                <w:snapToGrid/>
                <w:color w:val="000000"/>
                <w:szCs w:val="22"/>
                <w:lang w:eastAsia="en-GB"/>
              </w:rPr>
            </w:pPr>
            <w:r w:rsidRPr="008D48BE">
              <w:rPr>
                <w:rFonts w:asciiTheme="minorHAnsi" w:hAnsiTheme="minorHAnsi" w:cstheme="minorHAnsi"/>
                <w:snapToGrid/>
                <w:color w:val="000000"/>
                <w:szCs w:val="22"/>
                <w:lang w:eastAsia="en-GB"/>
              </w:rPr>
              <w:t>£650</w:t>
            </w:r>
          </w:p>
        </w:tc>
      </w:tr>
    </w:tbl>
    <w:p w14:paraId="05118B03" w14:textId="77777777" w:rsidR="004F53BC" w:rsidRDefault="004F53BC" w:rsidP="004F53BC">
      <w:pPr>
        <w:ind w:firstLine="360"/>
        <w:rPr>
          <w:rFonts w:asciiTheme="minorHAnsi" w:hAnsiTheme="minorHAnsi"/>
          <w:b/>
          <w:bCs/>
          <w:color w:val="0070C0"/>
          <w:sz w:val="28"/>
          <w:szCs w:val="28"/>
        </w:rPr>
      </w:pPr>
    </w:p>
    <w:tbl>
      <w:tblPr>
        <w:tblW w:w="101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61"/>
        <w:gridCol w:w="5244"/>
        <w:gridCol w:w="1985"/>
      </w:tblGrid>
      <w:tr w:rsidR="00B301D7" w:rsidRPr="007A6C0A" w14:paraId="07449A94" w14:textId="77777777" w:rsidTr="00D064CD">
        <w:trPr>
          <w:trHeight w:val="451"/>
          <w:jc w:val="center"/>
        </w:trPr>
        <w:tc>
          <w:tcPr>
            <w:tcW w:w="2961" w:type="dxa"/>
            <w:vMerge w:val="restart"/>
            <w:shd w:val="clear" w:color="auto" w:fill="D6E3BC" w:themeFill="accent3" w:themeFillTint="66"/>
            <w:vAlign w:val="center"/>
          </w:tcPr>
          <w:p w14:paraId="6458DF50" w14:textId="2D1EADE6" w:rsidR="00B301D7" w:rsidRPr="00B301D7" w:rsidRDefault="00B301D7" w:rsidP="00344FDD">
            <w:pPr>
              <w:rPr>
                <w:rFonts w:ascii="Segoe UI" w:hAnsi="Segoe UI" w:cs="Segoe UI"/>
                <w:snapToGrid/>
                <w:sz w:val="20"/>
                <w:lang w:eastAsia="en-GB"/>
              </w:rPr>
            </w:pPr>
            <w:r w:rsidRPr="00B301D7">
              <w:rPr>
                <w:rFonts w:asciiTheme="minorHAnsi" w:hAnsiTheme="minorHAnsi" w:cstheme="minorHAnsi"/>
                <w:b/>
                <w:bCs/>
                <w:snapToGrid/>
                <w:szCs w:val="22"/>
                <w:lang w:eastAsia="en-GB"/>
              </w:rPr>
              <w:t>Crown Court</w:t>
            </w:r>
          </w:p>
        </w:tc>
        <w:tc>
          <w:tcPr>
            <w:tcW w:w="5244" w:type="dxa"/>
            <w:shd w:val="clear" w:color="000000" w:fill="FFFFFF"/>
            <w:noWrap/>
            <w:vAlign w:val="center"/>
            <w:hideMark/>
          </w:tcPr>
          <w:p w14:paraId="22C5026E" w14:textId="258BE522" w:rsidR="00B301D7" w:rsidRPr="007A6C0A" w:rsidRDefault="00B301D7" w:rsidP="00344FDD">
            <w:pPr>
              <w:rPr>
                <w:rFonts w:ascii="Segoe UI" w:hAnsi="Segoe UI" w:cs="Segoe UI"/>
                <w:snapToGrid/>
                <w:color w:val="000000"/>
                <w:sz w:val="20"/>
                <w:lang w:eastAsia="en-GB"/>
              </w:rPr>
            </w:pPr>
            <w:r w:rsidRPr="007A6C0A">
              <w:rPr>
                <w:rFonts w:ascii="Segoe UI" w:hAnsi="Segoe UI" w:cs="Segoe UI"/>
                <w:snapToGrid/>
                <w:color w:val="000000"/>
                <w:sz w:val="20"/>
                <w:lang w:eastAsia="en-GB"/>
              </w:rPr>
              <w:t>Committal for Sentence</w:t>
            </w:r>
            <w:r w:rsidR="00291FF9">
              <w:rPr>
                <w:rFonts w:ascii="Segoe UI" w:hAnsi="Segoe UI" w:cs="Segoe UI"/>
                <w:snapToGrid/>
                <w:color w:val="000000"/>
                <w:sz w:val="20"/>
                <w:lang w:eastAsia="en-GB"/>
              </w:rPr>
              <w:t>*</w:t>
            </w:r>
          </w:p>
        </w:tc>
        <w:tc>
          <w:tcPr>
            <w:tcW w:w="1985" w:type="dxa"/>
            <w:shd w:val="clear" w:color="000000" w:fill="FFF2CC"/>
            <w:noWrap/>
            <w:vAlign w:val="center"/>
            <w:hideMark/>
          </w:tcPr>
          <w:p w14:paraId="7AFAEC35" w14:textId="77777777" w:rsidR="00B301D7" w:rsidRPr="007A6C0A" w:rsidRDefault="00B301D7" w:rsidP="00344FDD">
            <w:pPr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en-GB"/>
              </w:rPr>
            </w:pPr>
            <w:r w:rsidRPr="007A6C0A">
              <w:rPr>
                <w:rFonts w:ascii="Calibri" w:hAnsi="Calibri" w:cs="Calibri"/>
                <w:snapToGrid/>
                <w:color w:val="000000"/>
                <w:szCs w:val="22"/>
                <w:lang w:eastAsia="en-GB"/>
              </w:rPr>
              <w:t>£</w:t>
            </w:r>
            <w:r>
              <w:rPr>
                <w:rFonts w:ascii="Calibri" w:hAnsi="Calibri" w:cs="Calibri"/>
                <w:snapToGrid/>
                <w:color w:val="000000"/>
                <w:szCs w:val="22"/>
                <w:lang w:eastAsia="en-GB"/>
              </w:rPr>
              <w:t>650</w:t>
            </w:r>
          </w:p>
        </w:tc>
      </w:tr>
      <w:tr w:rsidR="00B301D7" w:rsidRPr="007A6C0A" w14:paraId="449E7DD4" w14:textId="77777777" w:rsidTr="00D064CD">
        <w:trPr>
          <w:trHeight w:val="415"/>
          <w:jc w:val="center"/>
        </w:trPr>
        <w:tc>
          <w:tcPr>
            <w:tcW w:w="2961" w:type="dxa"/>
            <w:vMerge/>
            <w:shd w:val="clear" w:color="auto" w:fill="D6E3BC" w:themeFill="accent3" w:themeFillTint="66"/>
          </w:tcPr>
          <w:p w14:paraId="43F6FBC0" w14:textId="77777777" w:rsidR="00B301D7" w:rsidRPr="007A6C0A" w:rsidRDefault="00B301D7" w:rsidP="00344FDD">
            <w:pPr>
              <w:rPr>
                <w:rFonts w:ascii="Segoe UI" w:hAnsi="Segoe UI" w:cs="Segoe UI"/>
                <w:snapToGrid/>
                <w:color w:val="000000"/>
                <w:sz w:val="20"/>
                <w:lang w:eastAsia="en-GB"/>
              </w:rPr>
            </w:pPr>
          </w:p>
        </w:tc>
        <w:tc>
          <w:tcPr>
            <w:tcW w:w="5244" w:type="dxa"/>
            <w:shd w:val="clear" w:color="000000" w:fill="FFFFFF"/>
            <w:noWrap/>
            <w:vAlign w:val="center"/>
            <w:hideMark/>
          </w:tcPr>
          <w:p w14:paraId="6DEAD3D7" w14:textId="02E221B2" w:rsidR="00B301D7" w:rsidRPr="007A6C0A" w:rsidRDefault="00B301D7" w:rsidP="00344FDD">
            <w:pPr>
              <w:rPr>
                <w:rFonts w:ascii="Segoe UI" w:hAnsi="Segoe UI" w:cs="Segoe UI"/>
                <w:snapToGrid/>
                <w:color w:val="000000"/>
                <w:sz w:val="20"/>
                <w:lang w:eastAsia="en-GB"/>
              </w:rPr>
            </w:pPr>
            <w:r w:rsidRPr="007A6C0A">
              <w:rPr>
                <w:rFonts w:ascii="Segoe UI" w:hAnsi="Segoe UI" w:cs="Segoe UI"/>
                <w:snapToGrid/>
                <w:color w:val="000000"/>
                <w:sz w:val="20"/>
                <w:lang w:eastAsia="en-GB"/>
              </w:rPr>
              <w:t xml:space="preserve">Appeal </w:t>
            </w:r>
            <w:r>
              <w:rPr>
                <w:rFonts w:ascii="Segoe UI" w:hAnsi="Segoe UI" w:cs="Segoe UI"/>
                <w:snapToGrid/>
                <w:color w:val="000000"/>
                <w:sz w:val="20"/>
                <w:lang w:eastAsia="en-GB"/>
              </w:rPr>
              <w:t xml:space="preserve">Against </w:t>
            </w:r>
            <w:r w:rsidRPr="007A6C0A">
              <w:rPr>
                <w:rFonts w:ascii="Segoe UI" w:hAnsi="Segoe UI" w:cs="Segoe UI"/>
                <w:snapToGrid/>
                <w:color w:val="000000"/>
                <w:sz w:val="20"/>
                <w:lang w:eastAsia="en-GB"/>
              </w:rPr>
              <w:t>Sentence</w:t>
            </w:r>
            <w:r w:rsidR="00291FF9">
              <w:rPr>
                <w:rFonts w:ascii="Segoe UI" w:hAnsi="Segoe UI" w:cs="Segoe UI"/>
                <w:snapToGrid/>
                <w:color w:val="000000"/>
                <w:sz w:val="20"/>
                <w:lang w:eastAsia="en-GB"/>
              </w:rPr>
              <w:t>*</w:t>
            </w:r>
          </w:p>
        </w:tc>
        <w:tc>
          <w:tcPr>
            <w:tcW w:w="1985" w:type="dxa"/>
            <w:shd w:val="clear" w:color="000000" w:fill="FFF2CC"/>
            <w:noWrap/>
            <w:vAlign w:val="center"/>
            <w:hideMark/>
          </w:tcPr>
          <w:p w14:paraId="64CDC229" w14:textId="77777777" w:rsidR="00B301D7" w:rsidRPr="007A6C0A" w:rsidRDefault="00B301D7" w:rsidP="00344FDD">
            <w:pPr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en-GB"/>
              </w:rPr>
            </w:pPr>
            <w:r w:rsidRPr="007A6C0A">
              <w:rPr>
                <w:rFonts w:ascii="Calibri" w:hAnsi="Calibri" w:cs="Calibri"/>
                <w:snapToGrid/>
                <w:color w:val="000000"/>
                <w:szCs w:val="22"/>
                <w:lang w:eastAsia="en-GB"/>
              </w:rPr>
              <w:t>£</w:t>
            </w:r>
            <w:r>
              <w:rPr>
                <w:rFonts w:ascii="Calibri" w:hAnsi="Calibri" w:cs="Calibri"/>
                <w:snapToGrid/>
                <w:color w:val="000000"/>
                <w:szCs w:val="22"/>
                <w:lang w:eastAsia="en-GB"/>
              </w:rPr>
              <w:t>650</w:t>
            </w:r>
          </w:p>
        </w:tc>
      </w:tr>
      <w:tr w:rsidR="00B301D7" w:rsidRPr="007A6C0A" w14:paraId="2ED1C510" w14:textId="77777777" w:rsidTr="00D064CD">
        <w:trPr>
          <w:trHeight w:val="364"/>
          <w:jc w:val="center"/>
        </w:trPr>
        <w:tc>
          <w:tcPr>
            <w:tcW w:w="2961" w:type="dxa"/>
            <w:vMerge/>
            <w:shd w:val="clear" w:color="auto" w:fill="D6E3BC" w:themeFill="accent3" w:themeFillTint="66"/>
          </w:tcPr>
          <w:p w14:paraId="5ECA1ED5" w14:textId="77777777" w:rsidR="00B301D7" w:rsidRPr="007A6C0A" w:rsidRDefault="00B301D7" w:rsidP="00344FDD">
            <w:pPr>
              <w:rPr>
                <w:rFonts w:ascii="Calibri" w:hAnsi="Calibri" w:cs="Calibri"/>
                <w:snapToGrid/>
                <w:color w:val="000000"/>
                <w:szCs w:val="22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0F4E0D2E" w14:textId="3833630F" w:rsidR="00B301D7" w:rsidRPr="007A6C0A" w:rsidRDefault="00B301D7" w:rsidP="00344FDD">
            <w:pPr>
              <w:rPr>
                <w:rFonts w:ascii="Calibri" w:hAnsi="Calibri" w:cs="Calibri"/>
                <w:snapToGrid/>
                <w:color w:val="000000"/>
                <w:szCs w:val="22"/>
                <w:lang w:eastAsia="en-GB"/>
              </w:rPr>
            </w:pPr>
            <w:r w:rsidRPr="007A6C0A">
              <w:rPr>
                <w:rFonts w:ascii="Calibri" w:hAnsi="Calibri" w:cs="Calibri"/>
                <w:snapToGrid/>
                <w:color w:val="000000"/>
                <w:szCs w:val="22"/>
                <w:lang w:eastAsia="en-GB"/>
              </w:rPr>
              <w:t xml:space="preserve">Appeal </w:t>
            </w:r>
            <w:r>
              <w:rPr>
                <w:rFonts w:ascii="Calibri" w:hAnsi="Calibri" w:cs="Calibri"/>
                <w:snapToGrid/>
                <w:color w:val="000000"/>
                <w:szCs w:val="22"/>
                <w:lang w:eastAsia="en-GB"/>
              </w:rPr>
              <w:t xml:space="preserve">Against </w:t>
            </w:r>
            <w:r w:rsidRPr="007A6C0A">
              <w:rPr>
                <w:rFonts w:ascii="Calibri" w:hAnsi="Calibri" w:cs="Calibri"/>
                <w:snapToGrid/>
                <w:color w:val="000000"/>
                <w:szCs w:val="22"/>
                <w:lang w:eastAsia="en-GB"/>
              </w:rPr>
              <w:t>Conviction</w:t>
            </w:r>
            <w:r w:rsidR="00291FF9">
              <w:rPr>
                <w:rFonts w:ascii="Calibri" w:hAnsi="Calibri" w:cs="Calibri"/>
                <w:snapToGrid/>
                <w:color w:val="000000"/>
                <w:szCs w:val="22"/>
                <w:lang w:eastAsia="en-GB"/>
              </w:rPr>
              <w:t>*</w:t>
            </w:r>
          </w:p>
        </w:tc>
        <w:tc>
          <w:tcPr>
            <w:tcW w:w="1985" w:type="dxa"/>
            <w:shd w:val="clear" w:color="000000" w:fill="FFF2CC"/>
            <w:noWrap/>
            <w:vAlign w:val="center"/>
            <w:hideMark/>
          </w:tcPr>
          <w:p w14:paraId="405C450C" w14:textId="77777777" w:rsidR="00B301D7" w:rsidRPr="007A6C0A" w:rsidRDefault="00B301D7" w:rsidP="00344FDD">
            <w:pPr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en-GB"/>
              </w:rPr>
            </w:pPr>
            <w:r w:rsidRPr="007A6C0A">
              <w:rPr>
                <w:rFonts w:ascii="Calibri" w:hAnsi="Calibri" w:cs="Calibri"/>
                <w:snapToGrid/>
                <w:color w:val="000000"/>
                <w:szCs w:val="22"/>
                <w:lang w:eastAsia="en-GB"/>
              </w:rPr>
              <w:t>£6</w:t>
            </w:r>
            <w:r>
              <w:rPr>
                <w:rFonts w:ascii="Calibri" w:hAnsi="Calibri" w:cs="Calibri"/>
                <w:snapToGrid/>
                <w:color w:val="000000"/>
                <w:szCs w:val="22"/>
                <w:lang w:eastAsia="en-GB"/>
              </w:rPr>
              <w:t>50</w:t>
            </w:r>
          </w:p>
        </w:tc>
      </w:tr>
      <w:tr w:rsidR="00B301D7" w:rsidRPr="007A6C0A" w14:paraId="5C949D1B" w14:textId="77777777" w:rsidTr="00D064CD">
        <w:trPr>
          <w:trHeight w:val="456"/>
          <w:jc w:val="center"/>
        </w:trPr>
        <w:tc>
          <w:tcPr>
            <w:tcW w:w="2961" w:type="dxa"/>
            <w:vMerge/>
            <w:shd w:val="clear" w:color="auto" w:fill="D6E3BC" w:themeFill="accent3" w:themeFillTint="66"/>
          </w:tcPr>
          <w:p w14:paraId="6F81B9D9" w14:textId="77777777" w:rsidR="00B301D7" w:rsidRPr="007A6C0A" w:rsidRDefault="00B301D7" w:rsidP="00344FDD">
            <w:pPr>
              <w:rPr>
                <w:rFonts w:ascii="Calibri" w:hAnsi="Calibri" w:cs="Calibri"/>
                <w:snapToGrid/>
                <w:color w:val="000000"/>
                <w:szCs w:val="22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4081B946" w14:textId="7CEB7202" w:rsidR="00B301D7" w:rsidRPr="007A6C0A" w:rsidRDefault="00B301D7" w:rsidP="00344FDD">
            <w:pPr>
              <w:rPr>
                <w:rFonts w:ascii="Calibri" w:hAnsi="Calibri" w:cs="Calibri"/>
                <w:snapToGrid/>
                <w:color w:val="000000"/>
                <w:szCs w:val="22"/>
                <w:lang w:eastAsia="en-GB"/>
              </w:rPr>
            </w:pPr>
            <w:r w:rsidRPr="007A6C0A">
              <w:rPr>
                <w:rFonts w:ascii="Calibri" w:hAnsi="Calibri" w:cs="Calibri"/>
                <w:snapToGrid/>
                <w:color w:val="000000"/>
                <w:szCs w:val="22"/>
                <w:lang w:eastAsia="en-GB"/>
              </w:rPr>
              <w:t>Guilty Plea</w:t>
            </w:r>
            <w:r>
              <w:rPr>
                <w:rFonts w:ascii="Calibri" w:hAnsi="Calibri" w:cs="Calibri"/>
                <w:snapToGrid/>
                <w:color w:val="000000"/>
                <w:szCs w:val="22"/>
                <w:lang w:eastAsia="en-GB"/>
              </w:rPr>
              <w:t xml:space="preserve"> at </w:t>
            </w:r>
            <w:r w:rsidRPr="007A6C0A">
              <w:rPr>
                <w:rFonts w:ascii="Calibri" w:hAnsi="Calibri" w:cs="Calibri"/>
                <w:snapToGrid/>
                <w:color w:val="000000"/>
                <w:szCs w:val="22"/>
                <w:lang w:eastAsia="en-GB"/>
              </w:rPr>
              <w:t>P</w:t>
            </w:r>
            <w:r>
              <w:rPr>
                <w:rFonts w:ascii="Calibri" w:hAnsi="Calibri" w:cs="Calibri"/>
                <w:snapToGrid/>
                <w:color w:val="000000"/>
                <w:szCs w:val="22"/>
                <w:lang w:eastAsia="en-GB"/>
              </w:rPr>
              <w:t>lea and Trial Preparation Hearing (P</w:t>
            </w:r>
            <w:r w:rsidRPr="007A6C0A">
              <w:rPr>
                <w:rFonts w:ascii="Calibri" w:hAnsi="Calibri" w:cs="Calibri"/>
                <w:snapToGrid/>
                <w:color w:val="000000"/>
                <w:szCs w:val="22"/>
                <w:lang w:eastAsia="en-GB"/>
              </w:rPr>
              <w:t>TPH</w:t>
            </w:r>
            <w:r>
              <w:rPr>
                <w:rFonts w:ascii="Calibri" w:hAnsi="Calibri" w:cs="Calibri"/>
                <w:snapToGrid/>
                <w:color w:val="000000"/>
                <w:szCs w:val="22"/>
                <w:lang w:eastAsia="en-GB"/>
              </w:rPr>
              <w:t>)</w:t>
            </w:r>
            <w:r w:rsidRPr="007A6C0A">
              <w:rPr>
                <w:rFonts w:ascii="Calibri" w:hAnsi="Calibri" w:cs="Calibri"/>
                <w:snapToGrid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1985" w:type="dxa"/>
            <w:shd w:val="clear" w:color="000000" w:fill="FFF2CC"/>
            <w:noWrap/>
            <w:vAlign w:val="center"/>
            <w:hideMark/>
          </w:tcPr>
          <w:p w14:paraId="4BAD90B0" w14:textId="77777777" w:rsidR="00B301D7" w:rsidRPr="007A6C0A" w:rsidRDefault="00B301D7" w:rsidP="00344FDD">
            <w:pPr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en-GB"/>
              </w:rPr>
            </w:pPr>
            <w:r w:rsidRPr="007A6C0A">
              <w:rPr>
                <w:rFonts w:ascii="Calibri" w:hAnsi="Calibri" w:cs="Calibri"/>
                <w:snapToGrid/>
                <w:color w:val="000000"/>
                <w:szCs w:val="22"/>
                <w:lang w:eastAsia="en-GB"/>
              </w:rPr>
              <w:t>£</w:t>
            </w:r>
            <w:r>
              <w:rPr>
                <w:rFonts w:ascii="Calibri" w:hAnsi="Calibri" w:cs="Calibri"/>
                <w:snapToGrid/>
                <w:color w:val="000000"/>
                <w:szCs w:val="22"/>
                <w:lang w:eastAsia="en-GB"/>
              </w:rPr>
              <w:t>1,000</w:t>
            </w:r>
          </w:p>
        </w:tc>
      </w:tr>
      <w:tr w:rsidR="00B301D7" w:rsidRPr="007A6C0A" w14:paraId="66A538CC" w14:textId="77777777" w:rsidTr="00D064CD">
        <w:trPr>
          <w:trHeight w:val="406"/>
          <w:jc w:val="center"/>
        </w:trPr>
        <w:tc>
          <w:tcPr>
            <w:tcW w:w="2961" w:type="dxa"/>
            <w:vMerge/>
            <w:shd w:val="clear" w:color="auto" w:fill="D6E3BC" w:themeFill="accent3" w:themeFillTint="66"/>
          </w:tcPr>
          <w:p w14:paraId="75F442B0" w14:textId="77777777" w:rsidR="00B301D7" w:rsidRPr="007A6C0A" w:rsidRDefault="00B301D7" w:rsidP="00344FDD">
            <w:pPr>
              <w:rPr>
                <w:rFonts w:ascii="Segoe UI" w:hAnsi="Segoe UI" w:cs="Segoe UI"/>
                <w:snapToGrid/>
                <w:color w:val="000000"/>
                <w:sz w:val="20"/>
                <w:lang w:eastAsia="en-GB"/>
              </w:rPr>
            </w:pPr>
          </w:p>
        </w:tc>
        <w:tc>
          <w:tcPr>
            <w:tcW w:w="5244" w:type="dxa"/>
            <w:shd w:val="clear" w:color="000000" w:fill="FFFFFF"/>
            <w:noWrap/>
            <w:vAlign w:val="center"/>
            <w:hideMark/>
          </w:tcPr>
          <w:p w14:paraId="4C5C0799" w14:textId="25F9A9CF" w:rsidR="00B301D7" w:rsidRPr="007A6C0A" w:rsidRDefault="00B301D7" w:rsidP="00344FDD">
            <w:pPr>
              <w:rPr>
                <w:rFonts w:ascii="Segoe UI" w:hAnsi="Segoe UI" w:cs="Segoe UI"/>
                <w:snapToGrid/>
                <w:color w:val="000000"/>
                <w:sz w:val="20"/>
                <w:lang w:eastAsia="en-GB"/>
              </w:rPr>
            </w:pPr>
            <w:r w:rsidRPr="007A6C0A">
              <w:rPr>
                <w:rFonts w:ascii="Segoe UI" w:hAnsi="Segoe UI" w:cs="Segoe UI"/>
                <w:snapToGrid/>
                <w:color w:val="000000"/>
                <w:sz w:val="20"/>
                <w:lang w:eastAsia="en-GB"/>
              </w:rPr>
              <w:t>Late Guilty Plea</w:t>
            </w:r>
            <w:r>
              <w:rPr>
                <w:rFonts w:ascii="Segoe UI" w:hAnsi="Segoe UI" w:cs="Segoe UI"/>
                <w:snapToGrid/>
                <w:color w:val="000000"/>
                <w:sz w:val="20"/>
                <w:lang w:eastAsia="en-GB"/>
              </w:rPr>
              <w:t xml:space="preserve"> / Cracked Trial</w:t>
            </w:r>
          </w:p>
        </w:tc>
        <w:tc>
          <w:tcPr>
            <w:tcW w:w="1985" w:type="dxa"/>
            <w:shd w:val="clear" w:color="000000" w:fill="FFF2CC"/>
            <w:noWrap/>
            <w:vAlign w:val="center"/>
            <w:hideMark/>
          </w:tcPr>
          <w:p w14:paraId="019C5CEA" w14:textId="77777777" w:rsidR="00B301D7" w:rsidRPr="007A6C0A" w:rsidRDefault="00B301D7" w:rsidP="00344FDD">
            <w:pPr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en-GB"/>
              </w:rPr>
            </w:pPr>
            <w:r w:rsidRPr="007A6C0A">
              <w:rPr>
                <w:rFonts w:ascii="Calibri" w:hAnsi="Calibri" w:cs="Calibri"/>
                <w:snapToGrid/>
                <w:color w:val="000000"/>
                <w:szCs w:val="22"/>
                <w:lang w:eastAsia="en-GB"/>
              </w:rPr>
              <w:t>£1,</w:t>
            </w:r>
            <w:r>
              <w:rPr>
                <w:rFonts w:ascii="Calibri" w:hAnsi="Calibri" w:cs="Calibri"/>
                <w:snapToGrid/>
                <w:color w:val="000000"/>
                <w:szCs w:val="22"/>
                <w:lang w:eastAsia="en-GB"/>
              </w:rPr>
              <w:t>630</w:t>
            </w:r>
          </w:p>
        </w:tc>
      </w:tr>
      <w:tr w:rsidR="00B301D7" w:rsidRPr="007A6C0A" w14:paraId="1B4AA0D2" w14:textId="77777777" w:rsidTr="00D064CD">
        <w:trPr>
          <w:trHeight w:val="411"/>
          <w:jc w:val="center"/>
        </w:trPr>
        <w:tc>
          <w:tcPr>
            <w:tcW w:w="2961" w:type="dxa"/>
            <w:vMerge/>
            <w:shd w:val="clear" w:color="auto" w:fill="D6E3BC" w:themeFill="accent3" w:themeFillTint="66"/>
          </w:tcPr>
          <w:p w14:paraId="3310BC5F" w14:textId="77777777" w:rsidR="00B301D7" w:rsidRPr="007A6C0A" w:rsidRDefault="00B301D7" w:rsidP="00344FDD">
            <w:pPr>
              <w:rPr>
                <w:rFonts w:ascii="Segoe UI" w:hAnsi="Segoe UI" w:cs="Segoe UI"/>
                <w:snapToGrid/>
                <w:color w:val="000000"/>
                <w:sz w:val="20"/>
                <w:lang w:eastAsia="en-GB"/>
              </w:rPr>
            </w:pPr>
          </w:p>
        </w:tc>
        <w:tc>
          <w:tcPr>
            <w:tcW w:w="5244" w:type="dxa"/>
            <w:shd w:val="clear" w:color="000000" w:fill="FFFFFF"/>
            <w:noWrap/>
            <w:vAlign w:val="center"/>
            <w:hideMark/>
          </w:tcPr>
          <w:p w14:paraId="6B80E85D" w14:textId="49FABC25" w:rsidR="00B301D7" w:rsidRPr="007A6C0A" w:rsidRDefault="00B301D7" w:rsidP="00344FDD">
            <w:pPr>
              <w:rPr>
                <w:rFonts w:ascii="Segoe UI" w:hAnsi="Segoe UI" w:cs="Segoe UI"/>
                <w:snapToGrid/>
                <w:color w:val="000000"/>
                <w:sz w:val="20"/>
                <w:lang w:eastAsia="en-GB"/>
              </w:rPr>
            </w:pPr>
            <w:r w:rsidRPr="007A6C0A">
              <w:rPr>
                <w:rFonts w:ascii="Segoe UI" w:hAnsi="Segoe UI" w:cs="Segoe UI"/>
                <w:snapToGrid/>
                <w:color w:val="000000"/>
                <w:sz w:val="20"/>
                <w:lang w:eastAsia="en-GB"/>
              </w:rPr>
              <w:t>Trial</w:t>
            </w:r>
          </w:p>
        </w:tc>
        <w:tc>
          <w:tcPr>
            <w:tcW w:w="1985" w:type="dxa"/>
            <w:shd w:val="clear" w:color="000000" w:fill="FFF2CC"/>
            <w:noWrap/>
            <w:vAlign w:val="center"/>
            <w:hideMark/>
          </w:tcPr>
          <w:p w14:paraId="4B5F1F8F" w14:textId="77777777" w:rsidR="00B301D7" w:rsidRPr="007A6C0A" w:rsidRDefault="00B301D7" w:rsidP="00344FDD">
            <w:pPr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en-GB"/>
              </w:rPr>
            </w:pPr>
            <w:r w:rsidRPr="007A6C0A">
              <w:rPr>
                <w:rFonts w:ascii="Calibri" w:hAnsi="Calibri" w:cs="Calibri"/>
                <w:snapToGrid/>
                <w:color w:val="000000"/>
                <w:szCs w:val="22"/>
                <w:lang w:eastAsia="en-GB"/>
              </w:rPr>
              <w:t>£</w:t>
            </w:r>
            <w:r>
              <w:rPr>
                <w:rFonts w:ascii="Calibri" w:hAnsi="Calibri" w:cs="Calibri"/>
                <w:snapToGrid/>
                <w:color w:val="000000"/>
                <w:szCs w:val="22"/>
                <w:lang w:eastAsia="en-GB"/>
              </w:rPr>
              <w:t>4,380</w:t>
            </w:r>
          </w:p>
        </w:tc>
      </w:tr>
    </w:tbl>
    <w:p w14:paraId="0A613858" w14:textId="77777777" w:rsidR="009B2070" w:rsidRDefault="006A5912" w:rsidP="006A5912">
      <w:pPr>
        <w:widowControl w:val="0"/>
        <w:tabs>
          <w:tab w:val="left" w:pos="284"/>
        </w:tabs>
        <w:spacing w:line="276" w:lineRule="auto"/>
        <w:ind w:right="200"/>
        <w:jc w:val="both"/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ab/>
      </w:r>
    </w:p>
    <w:p w14:paraId="7CFCC391" w14:textId="173C965D" w:rsidR="00291FF9" w:rsidRDefault="00291FF9" w:rsidP="006A5912">
      <w:pPr>
        <w:widowControl w:val="0"/>
        <w:tabs>
          <w:tab w:val="left" w:pos="284"/>
        </w:tabs>
        <w:spacing w:line="276" w:lineRule="auto"/>
        <w:ind w:right="200"/>
        <w:jc w:val="both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(* </w:t>
      </w:r>
      <w:r>
        <w:rPr>
          <w:rFonts w:asciiTheme="minorHAnsi" w:hAnsiTheme="minorHAnsi" w:cstheme="minorHAnsi"/>
        </w:rPr>
        <w:t xml:space="preserve">includes magistrates’ courts cost) </w:t>
      </w:r>
    </w:p>
    <w:p w14:paraId="10F76C94" w14:textId="77777777" w:rsidR="00291FF9" w:rsidRPr="00291FF9" w:rsidRDefault="00291FF9" w:rsidP="00291FF9">
      <w:pPr>
        <w:widowControl w:val="0"/>
        <w:tabs>
          <w:tab w:val="left" w:pos="840"/>
        </w:tabs>
        <w:spacing w:line="276" w:lineRule="auto"/>
        <w:ind w:right="200"/>
        <w:jc w:val="both"/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</w:pPr>
    </w:p>
    <w:p w14:paraId="2FA6F372" w14:textId="77777777" w:rsidR="008265BA" w:rsidRDefault="004A2FB8" w:rsidP="008265BA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spacing w:line="276" w:lineRule="auto"/>
        <w:ind w:right="200"/>
        <w:jc w:val="both"/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</w:pPr>
      <w:r w:rsidRPr="007B3DBF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The </w:t>
      </w:r>
      <w:r w:rsidRPr="006913DC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>rates</w:t>
      </w:r>
      <w:r w:rsidRPr="007B3DBF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 are indicative of single defendant cases only and the figure should </w:t>
      </w:r>
      <w:r w:rsidR="00600663" w:rsidRPr="006913DC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therefore </w:t>
      </w:r>
      <w:r w:rsidRPr="007B3DBF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>be increased by 20% for each additional defendant.</w:t>
      </w:r>
      <w:r w:rsidR="006913DC" w:rsidRPr="006913DC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  </w:t>
      </w:r>
      <w:r w:rsidR="0034756A" w:rsidRPr="006913DC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It may also be appropriate to increase the amount applied for where </w:t>
      </w:r>
      <w:r w:rsidR="006913DC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the case prosecuted was </w:t>
      </w:r>
      <w:r w:rsidR="00A76C34" w:rsidRPr="006913DC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>complex cases</w:t>
      </w:r>
      <w:r w:rsidR="006913DC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>,</w:t>
      </w:r>
      <w:r w:rsidR="00A76C34" w:rsidRPr="006913DC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5615A4" w:rsidRPr="007B3DBF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>involving complicated legal issues or extended preparation</w:t>
      </w:r>
      <w:r w:rsidR="000B5C43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.  </w:t>
      </w:r>
      <w:r w:rsidR="005615A4" w:rsidRPr="007B3DBF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</w:p>
    <w:p w14:paraId="5A34E39A" w14:textId="77777777" w:rsidR="008265BA" w:rsidRDefault="008265BA" w:rsidP="008265BA">
      <w:pPr>
        <w:pStyle w:val="ListParagraph"/>
        <w:widowControl w:val="0"/>
        <w:tabs>
          <w:tab w:val="left" w:pos="840"/>
        </w:tabs>
        <w:spacing w:line="276" w:lineRule="auto"/>
        <w:ind w:right="200"/>
        <w:jc w:val="both"/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</w:pPr>
    </w:p>
    <w:p w14:paraId="1F762CB8" w14:textId="74E26F88" w:rsidR="00747C5F" w:rsidRPr="00A07C94" w:rsidRDefault="0034669D" w:rsidP="00394FED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spacing w:line="276" w:lineRule="auto"/>
        <w:ind w:right="200"/>
        <w:jc w:val="both"/>
        <w:rPr>
          <w:rFonts w:asciiTheme="minorHAnsi" w:hAnsiTheme="minorHAnsi"/>
          <w:i/>
          <w:iCs/>
          <w:color w:val="000000" w:themeColor="text1"/>
          <w:szCs w:val="22"/>
          <w:lang w:val="en-US"/>
        </w:rPr>
      </w:pPr>
      <w:r w:rsidRPr="00A07C94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Witness </w:t>
      </w:r>
      <w:r w:rsidR="00476435" w:rsidRPr="00A07C94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>c</w:t>
      </w:r>
      <w:r w:rsidRPr="00A07C94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osts, </w:t>
      </w:r>
      <w:r w:rsidR="00F118D8" w:rsidRPr="00A07C94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expert fees, </w:t>
      </w:r>
      <w:r w:rsidR="00476435" w:rsidRPr="00A07C94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advocate </w:t>
      </w:r>
      <w:r w:rsidRPr="00A07C94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>fees and other specific disbursements should be added to these figures where appropriate</w:t>
      </w:r>
      <w:r w:rsidR="00476435" w:rsidRPr="00A07C94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 and calculable</w:t>
      </w:r>
      <w:r w:rsidRPr="00A07C94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>.</w:t>
      </w:r>
    </w:p>
    <w:p w14:paraId="462944FF" w14:textId="77777777" w:rsidR="00A07C94" w:rsidRPr="00A07C94" w:rsidRDefault="00A07C94" w:rsidP="00A07C94">
      <w:pPr>
        <w:pStyle w:val="ListParagraph"/>
        <w:rPr>
          <w:rFonts w:asciiTheme="minorHAnsi" w:hAnsiTheme="minorHAnsi"/>
          <w:i/>
          <w:iCs/>
          <w:color w:val="000000" w:themeColor="text1"/>
          <w:szCs w:val="22"/>
          <w:lang w:val="en-US"/>
        </w:rPr>
      </w:pPr>
    </w:p>
    <w:p w14:paraId="2B9D21DF" w14:textId="050ED5FA" w:rsidR="00A07C94" w:rsidRPr="00A07C94" w:rsidRDefault="00A07C94" w:rsidP="00394FED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spacing w:line="276" w:lineRule="auto"/>
        <w:ind w:right="200"/>
        <w:jc w:val="both"/>
        <w:rPr>
          <w:rFonts w:asciiTheme="minorHAnsi" w:hAnsiTheme="minorHAnsi"/>
          <w:i/>
          <w:iCs/>
          <w:color w:val="000000" w:themeColor="text1"/>
          <w:szCs w:val="22"/>
          <w:lang w:val="en-US"/>
        </w:rPr>
      </w:pPr>
      <w:r w:rsidRPr="008408C2">
        <w:rPr>
          <w:rFonts w:ascii="Calibri" w:eastAsia="Calibri" w:hAnsi="Calibri" w:cs="Calibri"/>
          <w:bCs/>
          <w:spacing w:val="1"/>
          <w14:reflection w14:blurRad="0" w14:stA="100000" w14:stPos="0" w14:endA="0" w14:endPos="0" w14:dist="0" w14:dir="0" w14:fadeDir="0" w14:sx="0" w14:sy="0" w14:kx="0" w14:ky="0" w14:algn="b"/>
        </w:rPr>
        <w:t xml:space="preserve">The award of costs and value of any order is at the discretion of the judiciary.   </w:t>
      </w:r>
    </w:p>
    <w:p w14:paraId="13EB9D7E" w14:textId="6E3E0819" w:rsidR="00CA1864" w:rsidRPr="00F30479" w:rsidRDefault="00CA1864" w:rsidP="00791C13">
      <w:pPr>
        <w:spacing w:line="276" w:lineRule="auto"/>
        <w:jc w:val="both"/>
        <w:rPr>
          <w:rFonts w:asciiTheme="minorHAnsi" w:hAnsiTheme="minorHAnsi"/>
          <w:color w:val="000000" w:themeColor="text1"/>
          <w:szCs w:val="22"/>
        </w:rPr>
      </w:pPr>
    </w:p>
    <w:sectPr w:rsidR="00CA1864" w:rsidRPr="00F30479" w:rsidSect="0048746C">
      <w:headerReference w:type="default" r:id="rId10"/>
      <w:footerReference w:type="default" r:id="rId11"/>
      <w:pgSz w:w="11906" w:h="16838"/>
      <w:pgMar w:top="993" w:right="849" w:bottom="1134" w:left="851" w:header="426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29B96" w14:textId="77777777" w:rsidR="00E97956" w:rsidRDefault="00E97956">
      <w:r>
        <w:separator/>
      </w:r>
    </w:p>
  </w:endnote>
  <w:endnote w:type="continuationSeparator" w:id="0">
    <w:p w14:paraId="40838B8E" w14:textId="77777777" w:rsidR="00E97956" w:rsidRDefault="00E9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6C5A" w14:textId="474AA8D1" w:rsidR="00531A7B" w:rsidRDefault="00FC165E" w:rsidP="00A85F5C">
    <w:pPr>
      <w:pStyle w:val="Footer"/>
      <w:ind w:firstLine="1418"/>
      <w:jc w:val="right"/>
      <w:rPr>
        <w:sz w:val="20"/>
      </w:rPr>
    </w:pPr>
    <w:r>
      <w:rPr>
        <w:noProof/>
        <w:color w:val="4F81BD" w:themeColor="accent1"/>
        <w:sz w:val="18"/>
        <w:szCs w:val="18"/>
      </w:rPr>
      <w:drawing>
        <wp:anchor distT="0" distB="0" distL="114300" distR="114300" simplePos="0" relativeHeight="251657216" behindDoc="0" locked="0" layoutInCell="1" allowOverlap="1" wp14:anchorId="34E99909" wp14:editId="38CB1820">
          <wp:simplePos x="0" y="0"/>
          <wp:positionH relativeFrom="column">
            <wp:posOffset>-540385</wp:posOffset>
          </wp:positionH>
          <wp:positionV relativeFrom="paragraph">
            <wp:posOffset>-1178254</wp:posOffset>
          </wp:positionV>
          <wp:extent cx="1473200" cy="1734513"/>
          <wp:effectExtent l="0" t="0" r="0" b="0"/>
          <wp:wrapNone/>
          <wp:docPr id="230322762" name="Picture 230322762" descr="C:\Users\Mark.Trolley\AppData\Local\Microsoft\Windows\INetCache\Content.MSO\BE81A49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k.Trolley\AppData\Local\Microsoft\Windows\INetCache\Content.MSO\BE81A49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042" cy="1757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F5C">
      <w:rPr>
        <w:sz w:val="20"/>
      </w:rPr>
      <w:t xml:space="preserve">Court Business Unit, HQ Operations – </w:t>
    </w:r>
    <w:r w:rsidR="00A07C94">
      <w:rPr>
        <w:sz w:val="20"/>
      </w:rPr>
      <w:t xml:space="preserve">effective from </w:t>
    </w:r>
    <w:r w:rsidR="00A85F5C">
      <w:rPr>
        <w:sz w:val="20"/>
      </w:rPr>
      <w:t>1 December 2023</w:t>
    </w:r>
  </w:p>
  <w:p w14:paraId="47719F0C" w14:textId="6E4C1BEA" w:rsidR="00531A7B" w:rsidRPr="00405788" w:rsidRDefault="00FC165E" w:rsidP="00A00F1F">
    <w:pPr>
      <w:pStyle w:val="Footer"/>
      <w:tabs>
        <w:tab w:val="clear" w:pos="4153"/>
        <w:tab w:val="clear" w:pos="8306"/>
        <w:tab w:val="center" w:pos="4962"/>
        <w:tab w:val="right" w:pos="10065"/>
      </w:tabs>
      <w:rPr>
        <w:color w:val="4F81BD" w:themeColor="accent1"/>
        <w:sz w:val="18"/>
        <w:szCs w:val="18"/>
      </w:rPr>
    </w:pPr>
    <w:r>
      <w:t> </w:t>
    </w:r>
    <w:r w:rsidR="00531A7B" w:rsidRPr="00BA2F45">
      <w:rPr>
        <w:color w:val="4F81BD" w:themeColor="accent1"/>
        <w:sz w:val="18"/>
        <w:szCs w:val="18"/>
      </w:rPr>
      <w:tab/>
    </w:r>
  </w:p>
  <w:p w14:paraId="6CEF6DFE" w14:textId="6D16D577" w:rsidR="002B0854" w:rsidRDefault="002B08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E9C7" w14:textId="77777777" w:rsidR="00E97956" w:rsidRDefault="00E97956">
      <w:r>
        <w:separator/>
      </w:r>
    </w:p>
  </w:footnote>
  <w:footnote w:type="continuationSeparator" w:id="0">
    <w:p w14:paraId="7C778382" w14:textId="77777777" w:rsidR="00E97956" w:rsidRDefault="00E97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8C8" w14:textId="477F9A06" w:rsidR="00531A7B" w:rsidRDefault="00C41FC8" w:rsidP="00A00F1F">
    <w:pPr>
      <w:pStyle w:val="Header"/>
      <w:tabs>
        <w:tab w:val="clear" w:pos="4153"/>
        <w:tab w:val="clear" w:pos="8306"/>
        <w:tab w:val="center" w:pos="4962"/>
        <w:tab w:val="right" w:pos="9072"/>
      </w:tabs>
      <w:rPr>
        <w:sz w:val="20"/>
      </w:rPr>
    </w:pPr>
    <w:sdt>
      <w:sdtPr>
        <w:rPr>
          <w:color w:val="4F81BD" w:themeColor="accent1"/>
          <w:sz w:val="20"/>
        </w:rPr>
        <w:id w:val="176777931"/>
        <w:docPartObj>
          <w:docPartGallery w:val="Watermarks"/>
          <w:docPartUnique/>
        </w:docPartObj>
      </w:sdtPr>
      <w:sdtEndPr/>
      <w:sdtContent>
        <w:r>
          <w:rPr>
            <w:color w:val="4F81BD" w:themeColor="accent1"/>
            <w:sz w:val="20"/>
          </w:rPr>
          <w:pict w14:anchorId="0A2F32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31A7B" w:rsidRPr="00C67EDA">
      <w:rPr>
        <w:color w:val="4F81BD" w:themeColor="accent1"/>
        <w:sz w:val="20"/>
      </w:rPr>
      <w:tab/>
      <w:t>Official</w:t>
    </w:r>
    <w:r w:rsidR="00531A7B">
      <w:rPr>
        <w:sz w:val="20"/>
      </w:rPr>
      <w:tab/>
    </w:r>
    <w:r w:rsidR="00531A7B">
      <w:rPr>
        <w:sz w:val="20"/>
      </w:rPr>
      <w:tab/>
    </w:r>
  </w:p>
  <w:p w14:paraId="7C112583" w14:textId="77777777" w:rsidR="002B0854" w:rsidRDefault="002B08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668CD70"/>
    <w:lvl w:ilvl="0">
      <w:start w:val="1"/>
      <w:numFmt w:val="decimal"/>
      <w:pStyle w:val="Legal1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pStyle w:val="Lega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gal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E03F80"/>
    <w:multiLevelType w:val="hybridMultilevel"/>
    <w:tmpl w:val="BC2C9E58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0B08FE"/>
    <w:multiLevelType w:val="hybridMultilevel"/>
    <w:tmpl w:val="CDF0F2D0"/>
    <w:lvl w:ilvl="0" w:tplc="7098FE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BA8E7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013F1"/>
    <w:multiLevelType w:val="hybridMultilevel"/>
    <w:tmpl w:val="7B5282E0"/>
    <w:lvl w:ilvl="0" w:tplc="08090017">
      <w:start w:val="1"/>
      <w:numFmt w:val="lowerLetter"/>
      <w:lvlText w:val="%1)"/>
      <w:lvlJc w:val="left"/>
      <w:pPr>
        <w:ind w:left="1194" w:hanging="360"/>
      </w:p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4" w15:restartNumberingAfterBreak="0">
    <w:nsid w:val="05CB7C15"/>
    <w:multiLevelType w:val="hybridMultilevel"/>
    <w:tmpl w:val="00B4573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C3033D"/>
    <w:multiLevelType w:val="hybridMultilevel"/>
    <w:tmpl w:val="BDDE8336"/>
    <w:lvl w:ilvl="0" w:tplc="90DCC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61975"/>
    <w:multiLevelType w:val="hybridMultilevel"/>
    <w:tmpl w:val="C7DA9E32"/>
    <w:lvl w:ilvl="0" w:tplc="90DCC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2120F"/>
    <w:multiLevelType w:val="hybridMultilevel"/>
    <w:tmpl w:val="AC0E3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E71ED7"/>
    <w:multiLevelType w:val="hybridMultilevel"/>
    <w:tmpl w:val="6C186F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50006"/>
    <w:multiLevelType w:val="hybridMultilevel"/>
    <w:tmpl w:val="B3543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6189F"/>
    <w:multiLevelType w:val="hybridMultilevel"/>
    <w:tmpl w:val="56161348"/>
    <w:lvl w:ilvl="0" w:tplc="EC2251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E114CB"/>
    <w:multiLevelType w:val="hybridMultilevel"/>
    <w:tmpl w:val="0EB8FE4A"/>
    <w:lvl w:ilvl="0" w:tplc="ED86BAB0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668E6"/>
    <w:multiLevelType w:val="hybridMultilevel"/>
    <w:tmpl w:val="00B4573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5D6D50"/>
    <w:multiLevelType w:val="hybridMultilevel"/>
    <w:tmpl w:val="CDA48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72DE5"/>
    <w:multiLevelType w:val="hybridMultilevel"/>
    <w:tmpl w:val="BD9478D2"/>
    <w:lvl w:ilvl="0" w:tplc="AF5E33FC">
      <w:start w:val="1"/>
      <w:numFmt w:val="bullet"/>
      <w:pStyle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D161D"/>
    <w:multiLevelType w:val="hybridMultilevel"/>
    <w:tmpl w:val="68E47908"/>
    <w:lvl w:ilvl="0" w:tplc="A3B860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128AE"/>
    <w:multiLevelType w:val="hybridMultilevel"/>
    <w:tmpl w:val="87042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F4111"/>
    <w:multiLevelType w:val="hybridMultilevel"/>
    <w:tmpl w:val="7B5282E0"/>
    <w:lvl w:ilvl="0" w:tplc="FFFFFFFF">
      <w:start w:val="1"/>
      <w:numFmt w:val="lowerLetter"/>
      <w:lvlText w:val="%1)"/>
      <w:lvlJc w:val="left"/>
      <w:pPr>
        <w:ind w:left="1194" w:hanging="360"/>
      </w:pPr>
    </w:lvl>
    <w:lvl w:ilvl="1" w:tplc="FFFFFFFF" w:tentative="1">
      <w:start w:val="1"/>
      <w:numFmt w:val="lowerLetter"/>
      <w:lvlText w:val="%2."/>
      <w:lvlJc w:val="left"/>
      <w:pPr>
        <w:ind w:left="1914" w:hanging="360"/>
      </w:pPr>
    </w:lvl>
    <w:lvl w:ilvl="2" w:tplc="FFFFFFFF" w:tentative="1">
      <w:start w:val="1"/>
      <w:numFmt w:val="lowerRoman"/>
      <w:lvlText w:val="%3."/>
      <w:lvlJc w:val="right"/>
      <w:pPr>
        <w:ind w:left="2634" w:hanging="180"/>
      </w:pPr>
    </w:lvl>
    <w:lvl w:ilvl="3" w:tplc="FFFFFFFF" w:tentative="1">
      <w:start w:val="1"/>
      <w:numFmt w:val="decimal"/>
      <w:lvlText w:val="%4."/>
      <w:lvlJc w:val="left"/>
      <w:pPr>
        <w:ind w:left="3354" w:hanging="360"/>
      </w:pPr>
    </w:lvl>
    <w:lvl w:ilvl="4" w:tplc="FFFFFFFF" w:tentative="1">
      <w:start w:val="1"/>
      <w:numFmt w:val="lowerLetter"/>
      <w:lvlText w:val="%5."/>
      <w:lvlJc w:val="left"/>
      <w:pPr>
        <w:ind w:left="4074" w:hanging="360"/>
      </w:pPr>
    </w:lvl>
    <w:lvl w:ilvl="5" w:tplc="FFFFFFFF" w:tentative="1">
      <w:start w:val="1"/>
      <w:numFmt w:val="lowerRoman"/>
      <w:lvlText w:val="%6."/>
      <w:lvlJc w:val="right"/>
      <w:pPr>
        <w:ind w:left="4794" w:hanging="180"/>
      </w:pPr>
    </w:lvl>
    <w:lvl w:ilvl="6" w:tplc="FFFFFFFF" w:tentative="1">
      <w:start w:val="1"/>
      <w:numFmt w:val="decimal"/>
      <w:lvlText w:val="%7."/>
      <w:lvlJc w:val="left"/>
      <w:pPr>
        <w:ind w:left="5514" w:hanging="360"/>
      </w:pPr>
    </w:lvl>
    <w:lvl w:ilvl="7" w:tplc="FFFFFFFF" w:tentative="1">
      <w:start w:val="1"/>
      <w:numFmt w:val="lowerLetter"/>
      <w:lvlText w:val="%8."/>
      <w:lvlJc w:val="left"/>
      <w:pPr>
        <w:ind w:left="6234" w:hanging="360"/>
      </w:pPr>
    </w:lvl>
    <w:lvl w:ilvl="8" w:tplc="FFFFFFFF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8" w15:restartNumberingAfterBreak="0">
    <w:nsid w:val="58BC6473"/>
    <w:multiLevelType w:val="multilevel"/>
    <w:tmpl w:val="ACC6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F568A6"/>
    <w:multiLevelType w:val="hybridMultilevel"/>
    <w:tmpl w:val="10062802"/>
    <w:lvl w:ilvl="0" w:tplc="08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677B30A7"/>
    <w:multiLevelType w:val="hybridMultilevel"/>
    <w:tmpl w:val="64269170"/>
    <w:lvl w:ilvl="0" w:tplc="08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9E70194"/>
    <w:multiLevelType w:val="hybridMultilevel"/>
    <w:tmpl w:val="60147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C2401"/>
    <w:multiLevelType w:val="hybridMultilevel"/>
    <w:tmpl w:val="1ACECCD4"/>
    <w:lvl w:ilvl="0" w:tplc="EC8A172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91F7F"/>
    <w:multiLevelType w:val="hybridMultilevel"/>
    <w:tmpl w:val="C85030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11010"/>
    <w:multiLevelType w:val="hybridMultilevel"/>
    <w:tmpl w:val="B420B90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A77762"/>
    <w:multiLevelType w:val="hybridMultilevel"/>
    <w:tmpl w:val="3FD2F0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D252B"/>
    <w:multiLevelType w:val="hybridMultilevel"/>
    <w:tmpl w:val="4BB0F192"/>
    <w:lvl w:ilvl="0" w:tplc="384AD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46397">
    <w:abstractNumId w:val="0"/>
  </w:num>
  <w:num w:numId="2" w16cid:durableId="1487820948">
    <w:abstractNumId w:val="14"/>
  </w:num>
  <w:num w:numId="3" w16cid:durableId="1269044808">
    <w:abstractNumId w:val="2"/>
  </w:num>
  <w:num w:numId="4" w16cid:durableId="2145154622">
    <w:abstractNumId w:val="13"/>
  </w:num>
  <w:num w:numId="5" w16cid:durableId="1234659379">
    <w:abstractNumId w:val="16"/>
  </w:num>
  <w:num w:numId="6" w16cid:durableId="1084843317">
    <w:abstractNumId w:val="10"/>
  </w:num>
  <w:num w:numId="7" w16cid:durableId="1565725463">
    <w:abstractNumId w:val="26"/>
  </w:num>
  <w:num w:numId="8" w16cid:durableId="912354957">
    <w:abstractNumId w:val="6"/>
  </w:num>
  <w:num w:numId="9" w16cid:durableId="1804927788">
    <w:abstractNumId w:val="5"/>
  </w:num>
  <w:num w:numId="10" w16cid:durableId="1487362377">
    <w:abstractNumId w:val="22"/>
  </w:num>
  <w:num w:numId="11" w16cid:durableId="1726484854">
    <w:abstractNumId w:val="11"/>
  </w:num>
  <w:num w:numId="12" w16cid:durableId="1383208820">
    <w:abstractNumId w:val="24"/>
  </w:num>
  <w:num w:numId="13" w16cid:durableId="197592632">
    <w:abstractNumId w:val="19"/>
  </w:num>
  <w:num w:numId="14" w16cid:durableId="729423270">
    <w:abstractNumId w:val="18"/>
  </w:num>
  <w:num w:numId="15" w16cid:durableId="328874554">
    <w:abstractNumId w:val="21"/>
  </w:num>
  <w:num w:numId="16" w16cid:durableId="1183544698">
    <w:abstractNumId w:val="25"/>
  </w:num>
  <w:num w:numId="17" w16cid:durableId="997466480">
    <w:abstractNumId w:val="20"/>
  </w:num>
  <w:num w:numId="18" w16cid:durableId="224217867">
    <w:abstractNumId w:val="3"/>
  </w:num>
  <w:num w:numId="19" w16cid:durableId="816805876">
    <w:abstractNumId w:val="1"/>
  </w:num>
  <w:num w:numId="20" w16cid:durableId="499391845">
    <w:abstractNumId w:val="8"/>
  </w:num>
  <w:num w:numId="21" w16cid:durableId="2100515784">
    <w:abstractNumId w:val="23"/>
  </w:num>
  <w:num w:numId="22" w16cid:durableId="1538004795">
    <w:abstractNumId w:val="17"/>
  </w:num>
  <w:num w:numId="23" w16cid:durableId="264309990">
    <w:abstractNumId w:val="4"/>
  </w:num>
  <w:num w:numId="24" w16cid:durableId="464473987">
    <w:abstractNumId w:val="12"/>
  </w:num>
  <w:num w:numId="25" w16cid:durableId="628709681">
    <w:abstractNumId w:val="15"/>
  </w:num>
  <w:num w:numId="26" w16cid:durableId="1062217766">
    <w:abstractNumId w:val="9"/>
  </w:num>
  <w:num w:numId="27" w16cid:durableId="40160960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41"/>
    <w:rsid w:val="000037D2"/>
    <w:rsid w:val="00004129"/>
    <w:rsid w:val="00006A8A"/>
    <w:rsid w:val="00010E3D"/>
    <w:rsid w:val="0001306B"/>
    <w:rsid w:val="000166E7"/>
    <w:rsid w:val="000168A1"/>
    <w:rsid w:val="00030572"/>
    <w:rsid w:val="00030D43"/>
    <w:rsid w:val="00035073"/>
    <w:rsid w:val="000364BA"/>
    <w:rsid w:val="00036AE3"/>
    <w:rsid w:val="00036BF4"/>
    <w:rsid w:val="00043755"/>
    <w:rsid w:val="00047212"/>
    <w:rsid w:val="00053435"/>
    <w:rsid w:val="000534A9"/>
    <w:rsid w:val="00055C2B"/>
    <w:rsid w:val="00055FA0"/>
    <w:rsid w:val="0006051E"/>
    <w:rsid w:val="000605FC"/>
    <w:rsid w:val="00060BF3"/>
    <w:rsid w:val="00061046"/>
    <w:rsid w:val="00062285"/>
    <w:rsid w:val="000657DD"/>
    <w:rsid w:val="000664D5"/>
    <w:rsid w:val="00066812"/>
    <w:rsid w:val="0007127E"/>
    <w:rsid w:val="00073207"/>
    <w:rsid w:val="000734F7"/>
    <w:rsid w:val="00081D6F"/>
    <w:rsid w:val="00084FF6"/>
    <w:rsid w:val="00087E0D"/>
    <w:rsid w:val="0009057D"/>
    <w:rsid w:val="00090F45"/>
    <w:rsid w:val="00093C09"/>
    <w:rsid w:val="000A0256"/>
    <w:rsid w:val="000A3523"/>
    <w:rsid w:val="000A3622"/>
    <w:rsid w:val="000A4ACC"/>
    <w:rsid w:val="000A6696"/>
    <w:rsid w:val="000B11A0"/>
    <w:rsid w:val="000B40BD"/>
    <w:rsid w:val="000B4BB6"/>
    <w:rsid w:val="000B5C43"/>
    <w:rsid w:val="000B7C1A"/>
    <w:rsid w:val="000C243B"/>
    <w:rsid w:val="000C417B"/>
    <w:rsid w:val="000C4C51"/>
    <w:rsid w:val="000C5413"/>
    <w:rsid w:val="000C62D4"/>
    <w:rsid w:val="000D389B"/>
    <w:rsid w:val="000D40FA"/>
    <w:rsid w:val="000D4674"/>
    <w:rsid w:val="000D7E26"/>
    <w:rsid w:val="000E2E7A"/>
    <w:rsid w:val="000F1BF5"/>
    <w:rsid w:val="000F1F27"/>
    <w:rsid w:val="000F2544"/>
    <w:rsid w:val="00100258"/>
    <w:rsid w:val="0011059D"/>
    <w:rsid w:val="001115F9"/>
    <w:rsid w:val="00111BDF"/>
    <w:rsid w:val="00113E19"/>
    <w:rsid w:val="00114E83"/>
    <w:rsid w:val="001218D4"/>
    <w:rsid w:val="0012289B"/>
    <w:rsid w:val="00122C16"/>
    <w:rsid w:val="00124430"/>
    <w:rsid w:val="00125B38"/>
    <w:rsid w:val="00127992"/>
    <w:rsid w:val="00132A28"/>
    <w:rsid w:val="00135BB8"/>
    <w:rsid w:val="001430D0"/>
    <w:rsid w:val="00145531"/>
    <w:rsid w:val="00145DD4"/>
    <w:rsid w:val="00146A4D"/>
    <w:rsid w:val="00146BE9"/>
    <w:rsid w:val="00147C68"/>
    <w:rsid w:val="00147ECA"/>
    <w:rsid w:val="00151986"/>
    <w:rsid w:val="00154EAE"/>
    <w:rsid w:val="00156635"/>
    <w:rsid w:val="00157094"/>
    <w:rsid w:val="0015748F"/>
    <w:rsid w:val="00162144"/>
    <w:rsid w:val="0016317C"/>
    <w:rsid w:val="00163A70"/>
    <w:rsid w:val="00164BC5"/>
    <w:rsid w:val="001669FA"/>
    <w:rsid w:val="001746D7"/>
    <w:rsid w:val="00174CF3"/>
    <w:rsid w:val="00174DE3"/>
    <w:rsid w:val="001765B3"/>
    <w:rsid w:val="001813CB"/>
    <w:rsid w:val="00193F48"/>
    <w:rsid w:val="00195557"/>
    <w:rsid w:val="00195FDA"/>
    <w:rsid w:val="001A007D"/>
    <w:rsid w:val="001A0356"/>
    <w:rsid w:val="001A0753"/>
    <w:rsid w:val="001A2B8F"/>
    <w:rsid w:val="001A3199"/>
    <w:rsid w:val="001A453E"/>
    <w:rsid w:val="001A6B52"/>
    <w:rsid w:val="001C04EC"/>
    <w:rsid w:val="001C3058"/>
    <w:rsid w:val="001C6329"/>
    <w:rsid w:val="001C6CC7"/>
    <w:rsid w:val="001C6F0A"/>
    <w:rsid w:val="001C71DF"/>
    <w:rsid w:val="001D101C"/>
    <w:rsid w:val="001D11BD"/>
    <w:rsid w:val="001D2D93"/>
    <w:rsid w:val="001D54B1"/>
    <w:rsid w:val="001D6646"/>
    <w:rsid w:val="001D6B99"/>
    <w:rsid w:val="001E31F2"/>
    <w:rsid w:val="001E653C"/>
    <w:rsid w:val="001E6643"/>
    <w:rsid w:val="001F0DBC"/>
    <w:rsid w:val="001F3546"/>
    <w:rsid w:val="00202AFF"/>
    <w:rsid w:val="0021533E"/>
    <w:rsid w:val="00215F4D"/>
    <w:rsid w:val="0021656A"/>
    <w:rsid w:val="00224144"/>
    <w:rsid w:val="00224E3C"/>
    <w:rsid w:val="002276F9"/>
    <w:rsid w:val="00232722"/>
    <w:rsid w:val="002334CD"/>
    <w:rsid w:val="00237BE4"/>
    <w:rsid w:val="00242129"/>
    <w:rsid w:val="00242726"/>
    <w:rsid w:val="0024464F"/>
    <w:rsid w:val="00245890"/>
    <w:rsid w:val="0024744B"/>
    <w:rsid w:val="00250B0F"/>
    <w:rsid w:val="00253094"/>
    <w:rsid w:val="00253163"/>
    <w:rsid w:val="002555FA"/>
    <w:rsid w:val="00255640"/>
    <w:rsid w:val="00255D00"/>
    <w:rsid w:val="0025741A"/>
    <w:rsid w:val="0025794E"/>
    <w:rsid w:val="00261645"/>
    <w:rsid w:val="00261BAC"/>
    <w:rsid w:val="00271029"/>
    <w:rsid w:val="00272F63"/>
    <w:rsid w:val="00273C3F"/>
    <w:rsid w:val="0027626C"/>
    <w:rsid w:val="002772A1"/>
    <w:rsid w:val="002805AC"/>
    <w:rsid w:val="00282409"/>
    <w:rsid w:val="00282EDD"/>
    <w:rsid w:val="00283A0C"/>
    <w:rsid w:val="00290B5C"/>
    <w:rsid w:val="00291FF9"/>
    <w:rsid w:val="00293A2F"/>
    <w:rsid w:val="00296776"/>
    <w:rsid w:val="002A238B"/>
    <w:rsid w:val="002A3A23"/>
    <w:rsid w:val="002A4E14"/>
    <w:rsid w:val="002B0854"/>
    <w:rsid w:val="002B525A"/>
    <w:rsid w:val="002B7EF5"/>
    <w:rsid w:val="002C090F"/>
    <w:rsid w:val="002C0CDB"/>
    <w:rsid w:val="002C373E"/>
    <w:rsid w:val="002C52DC"/>
    <w:rsid w:val="002C66A7"/>
    <w:rsid w:val="002C7792"/>
    <w:rsid w:val="002D792E"/>
    <w:rsid w:val="002D7D1A"/>
    <w:rsid w:val="002E0A46"/>
    <w:rsid w:val="002E5801"/>
    <w:rsid w:val="002E6634"/>
    <w:rsid w:val="002E68AE"/>
    <w:rsid w:val="002F07E6"/>
    <w:rsid w:val="002F4360"/>
    <w:rsid w:val="002F5091"/>
    <w:rsid w:val="002F7302"/>
    <w:rsid w:val="003013C5"/>
    <w:rsid w:val="0030277D"/>
    <w:rsid w:val="003029EF"/>
    <w:rsid w:val="0030427D"/>
    <w:rsid w:val="00305619"/>
    <w:rsid w:val="00306AA3"/>
    <w:rsid w:val="00314BC4"/>
    <w:rsid w:val="00315978"/>
    <w:rsid w:val="00316E3A"/>
    <w:rsid w:val="0032578B"/>
    <w:rsid w:val="00331505"/>
    <w:rsid w:val="0033222E"/>
    <w:rsid w:val="00332574"/>
    <w:rsid w:val="0033703E"/>
    <w:rsid w:val="0033727C"/>
    <w:rsid w:val="00337799"/>
    <w:rsid w:val="00340E36"/>
    <w:rsid w:val="00341FED"/>
    <w:rsid w:val="00342882"/>
    <w:rsid w:val="00345C63"/>
    <w:rsid w:val="0034669D"/>
    <w:rsid w:val="00346830"/>
    <w:rsid w:val="00346F07"/>
    <w:rsid w:val="0034756A"/>
    <w:rsid w:val="00350E23"/>
    <w:rsid w:val="00352A4B"/>
    <w:rsid w:val="00357B45"/>
    <w:rsid w:val="003640F8"/>
    <w:rsid w:val="00366180"/>
    <w:rsid w:val="00366AFF"/>
    <w:rsid w:val="00374BE9"/>
    <w:rsid w:val="003764F8"/>
    <w:rsid w:val="00381997"/>
    <w:rsid w:val="003859C8"/>
    <w:rsid w:val="00390F49"/>
    <w:rsid w:val="0039759E"/>
    <w:rsid w:val="003A0DF0"/>
    <w:rsid w:val="003A2AB1"/>
    <w:rsid w:val="003A31A5"/>
    <w:rsid w:val="003A46F2"/>
    <w:rsid w:val="003A4981"/>
    <w:rsid w:val="003A7684"/>
    <w:rsid w:val="003A7A1F"/>
    <w:rsid w:val="003A7CB4"/>
    <w:rsid w:val="003B043C"/>
    <w:rsid w:val="003B3E3A"/>
    <w:rsid w:val="003B72D8"/>
    <w:rsid w:val="003B7515"/>
    <w:rsid w:val="003C0AD5"/>
    <w:rsid w:val="003C2994"/>
    <w:rsid w:val="003C60BB"/>
    <w:rsid w:val="003C75A2"/>
    <w:rsid w:val="003D0204"/>
    <w:rsid w:val="003D0DCA"/>
    <w:rsid w:val="003D0DE9"/>
    <w:rsid w:val="003D2E8D"/>
    <w:rsid w:val="003D3576"/>
    <w:rsid w:val="003D431E"/>
    <w:rsid w:val="003D5671"/>
    <w:rsid w:val="003E3EBB"/>
    <w:rsid w:val="003E4F07"/>
    <w:rsid w:val="003F1F20"/>
    <w:rsid w:val="003F212D"/>
    <w:rsid w:val="003F2397"/>
    <w:rsid w:val="003F2E1B"/>
    <w:rsid w:val="003F3A31"/>
    <w:rsid w:val="003F5671"/>
    <w:rsid w:val="003F5798"/>
    <w:rsid w:val="00400458"/>
    <w:rsid w:val="00401467"/>
    <w:rsid w:val="00403432"/>
    <w:rsid w:val="00404BB6"/>
    <w:rsid w:val="00405788"/>
    <w:rsid w:val="004075C2"/>
    <w:rsid w:val="00410269"/>
    <w:rsid w:val="0041461A"/>
    <w:rsid w:val="004173D7"/>
    <w:rsid w:val="0042131E"/>
    <w:rsid w:val="00421FAF"/>
    <w:rsid w:val="0042666C"/>
    <w:rsid w:val="00432939"/>
    <w:rsid w:val="00434CCD"/>
    <w:rsid w:val="00435BE7"/>
    <w:rsid w:val="00437F79"/>
    <w:rsid w:val="0044362E"/>
    <w:rsid w:val="00443A85"/>
    <w:rsid w:val="00445863"/>
    <w:rsid w:val="004500C9"/>
    <w:rsid w:val="00456074"/>
    <w:rsid w:val="00456E1B"/>
    <w:rsid w:val="004576D8"/>
    <w:rsid w:val="00464463"/>
    <w:rsid w:val="00466491"/>
    <w:rsid w:val="004672BC"/>
    <w:rsid w:val="0047143E"/>
    <w:rsid w:val="00472AA9"/>
    <w:rsid w:val="004753B4"/>
    <w:rsid w:val="00476435"/>
    <w:rsid w:val="00477865"/>
    <w:rsid w:val="00480A1E"/>
    <w:rsid w:val="004816C2"/>
    <w:rsid w:val="00484AA6"/>
    <w:rsid w:val="0048746C"/>
    <w:rsid w:val="00487EF9"/>
    <w:rsid w:val="00492B06"/>
    <w:rsid w:val="00492CA9"/>
    <w:rsid w:val="00493100"/>
    <w:rsid w:val="00494F60"/>
    <w:rsid w:val="00497AA1"/>
    <w:rsid w:val="00497AE6"/>
    <w:rsid w:val="004A2FB8"/>
    <w:rsid w:val="004A3B09"/>
    <w:rsid w:val="004A7107"/>
    <w:rsid w:val="004B1041"/>
    <w:rsid w:val="004B196B"/>
    <w:rsid w:val="004B25E6"/>
    <w:rsid w:val="004C0DF7"/>
    <w:rsid w:val="004C420D"/>
    <w:rsid w:val="004C50AF"/>
    <w:rsid w:val="004C694F"/>
    <w:rsid w:val="004D23A7"/>
    <w:rsid w:val="004E1E7C"/>
    <w:rsid w:val="004E4E18"/>
    <w:rsid w:val="004E515B"/>
    <w:rsid w:val="004F02CA"/>
    <w:rsid w:val="004F0F67"/>
    <w:rsid w:val="004F5303"/>
    <w:rsid w:val="004F53BC"/>
    <w:rsid w:val="004F65F7"/>
    <w:rsid w:val="00502E2E"/>
    <w:rsid w:val="00504AEA"/>
    <w:rsid w:val="00505AE3"/>
    <w:rsid w:val="00505FD5"/>
    <w:rsid w:val="00507110"/>
    <w:rsid w:val="00510ACF"/>
    <w:rsid w:val="005139E6"/>
    <w:rsid w:val="00514FA9"/>
    <w:rsid w:val="00520ED6"/>
    <w:rsid w:val="00521692"/>
    <w:rsid w:val="0052403B"/>
    <w:rsid w:val="005243FC"/>
    <w:rsid w:val="00531327"/>
    <w:rsid w:val="00531A7B"/>
    <w:rsid w:val="005347EC"/>
    <w:rsid w:val="005374FD"/>
    <w:rsid w:val="00537E9B"/>
    <w:rsid w:val="00543CEF"/>
    <w:rsid w:val="00543F2C"/>
    <w:rsid w:val="00544131"/>
    <w:rsid w:val="00552DA7"/>
    <w:rsid w:val="00554A71"/>
    <w:rsid w:val="00560B37"/>
    <w:rsid w:val="005615A4"/>
    <w:rsid w:val="00563620"/>
    <w:rsid w:val="00571404"/>
    <w:rsid w:val="00573272"/>
    <w:rsid w:val="00574391"/>
    <w:rsid w:val="00576C78"/>
    <w:rsid w:val="00583AE1"/>
    <w:rsid w:val="00583F8C"/>
    <w:rsid w:val="00585A85"/>
    <w:rsid w:val="00586BB1"/>
    <w:rsid w:val="00587013"/>
    <w:rsid w:val="005A3141"/>
    <w:rsid w:val="005A3B84"/>
    <w:rsid w:val="005A6542"/>
    <w:rsid w:val="005A73BF"/>
    <w:rsid w:val="005A78BB"/>
    <w:rsid w:val="005B00FD"/>
    <w:rsid w:val="005B6101"/>
    <w:rsid w:val="005B678E"/>
    <w:rsid w:val="005B7375"/>
    <w:rsid w:val="005B7A6F"/>
    <w:rsid w:val="005C1422"/>
    <w:rsid w:val="005D1EC5"/>
    <w:rsid w:val="005E3ADD"/>
    <w:rsid w:val="005E4DD9"/>
    <w:rsid w:val="005E707F"/>
    <w:rsid w:val="005F3CFD"/>
    <w:rsid w:val="005F60A9"/>
    <w:rsid w:val="005F692C"/>
    <w:rsid w:val="00600663"/>
    <w:rsid w:val="00601CFB"/>
    <w:rsid w:val="00605261"/>
    <w:rsid w:val="0060627D"/>
    <w:rsid w:val="00606C2D"/>
    <w:rsid w:val="00611B63"/>
    <w:rsid w:val="00613949"/>
    <w:rsid w:val="00616363"/>
    <w:rsid w:val="00621159"/>
    <w:rsid w:val="006245FA"/>
    <w:rsid w:val="00625C41"/>
    <w:rsid w:val="00625FFF"/>
    <w:rsid w:val="0062640E"/>
    <w:rsid w:val="00626A1E"/>
    <w:rsid w:val="0062763D"/>
    <w:rsid w:val="00637466"/>
    <w:rsid w:val="00642282"/>
    <w:rsid w:val="006478E2"/>
    <w:rsid w:val="00650D69"/>
    <w:rsid w:val="00656F71"/>
    <w:rsid w:val="00657582"/>
    <w:rsid w:val="0065770E"/>
    <w:rsid w:val="00664451"/>
    <w:rsid w:val="00671D7C"/>
    <w:rsid w:val="00674237"/>
    <w:rsid w:val="006744B7"/>
    <w:rsid w:val="00676F97"/>
    <w:rsid w:val="00680703"/>
    <w:rsid w:val="00681599"/>
    <w:rsid w:val="00683F79"/>
    <w:rsid w:val="00684DC9"/>
    <w:rsid w:val="00685C05"/>
    <w:rsid w:val="00686FCF"/>
    <w:rsid w:val="00687D85"/>
    <w:rsid w:val="00690F71"/>
    <w:rsid w:val="006913DC"/>
    <w:rsid w:val="0069324F"/>
    <w:rsid w:val="0069339B"/>
    <w:rsid w:val="00697D95"/>
    <w:rsid w:val="006A4083"/>
    <w:rsid w:val="006A5912"/>
    <w:rsid w:val="006A60B6"/>
    <w:rsid w:val="006A7CEA"/>
    <w:rsid w:val="006C0EFD"/>
    <w:rsid w:val="006C3628"/>
    <w:rsid w:val="006C3A4A"/>
    <w:rsid w:val="006C4A09"/>
    <w:rsid w:val="006D4002"/>
    <w:rsid w:val="006D7D83"/>
    <w:rsid w:val="006E409C"/>
    <w:rsid w:val="006F0248"/>
    <w:rsid w:val="006F4154"/>
    <w:rsid w:val="0070259E"/>
    <w:rsid w:val="0070550F"/>
    <w:rsid w:val="00705FD4"/>
    <w:rsid w:val="00707432"/>
    <w:rsid w:val="00711402"/>
    <w:rsid w:val="007206A8"/>
    <w:rsid w:val="00721A40"/>
    <w:rsid w:val="00726A37"/>
    <w:rsid w:val="0072747C"/>
    <w:rsid w:val="007274E9"/>
    <w:rsid w:val="00731FF8"/>
    <w:rsid w:val="0073326E"/>
    <w:rsid w:val="0073476A"/>
    <w:rsid w:val="00734B7A"/>
    <w:rsid w:val="00737111"/>
    <w:rsid w:val="007479AA"/>
    <w:rsid w:val="00747C5F"/>
    <w:rsid w:val="007523F8"/>
    <w:rsid w:val="00752B47"/>
    <w:rsid w:val="007544E4"/>
    <w:rsid w:val="00757910"/>
    <w:rsid w:val="00761A31"/>
    <w:rsid w:val="00762373"/>
    <w:rsid w:val="00762DB1"/>
    <w:rsid w:val="00764390"/>
    <w:rsid w:val="00773FE4"/>
    <w:rsid w:val="0077563F"/>
    <w:rsid w:val="00776AFC"/>
    <w:rsid w:val="00782B78"/>
    <w:rsid w:val="00782FB9"/>
    <w:rsid w:val="00783313"/>
    <w:rsid w:val="00784C48"/>
    <w:rsid w:val="00784DFE"/>
    <w:rsid w:val="007869BA"/>
    <w:rsid w:val="00790D34"/>
    <w:rsid w:val="007918F2"/>
    <w:rsid w:val="00791C13"/>
    <w:rsid w:val="00792B92"/>
    <w:rsid w:val="0079705A"/>
    <w:rsid w:val="007A07BC"/>
    <w:rsid w:val="007A0E16"/>
    <w:rsid w:val="007A2601"/>
    <w:rsid w:val="007A5D02"/>
    <w:rsid w:val="007A646B"/>
    <w:rsid w:val="007A7342"/>
    <w:rsid w:val="007B0C0B"/>
    <w:rsid w:val="007B2B65"/>
    <w:rsid w:val="007B3DBF"/>
    <w:rsid w:val="007B4132"/>
    <w:rsid w:val="007B526F"/>
    <w:rsid w:val="007B5540"/>
    <w:rsid w:val="007B5A99"/>
    <w:rsid w:val="007C0A4B"/>
    <w:rsid w:val="007C2768"/>
    <w:rsid w:val="007C5F52"/>
    <w:rsid w:val="007C7826"/>
    <w:rsid w:val="007D2426"/>
    <w:rsid w:val="007D6188"/>
    <w:rsid w:val="007E1569"/>
    <w:rsid w:val="007E2082"/>
    <w:rsid w:val="007E2DCC"/>
    <w:rsid w:val="007E5131"/>
    <w:rsid w:val="007E7F29"/>
    <w:rsid w:val="007F0C12"/>
    <w:rsid w:val="007F22FA"/>
    <w:rsid w:val="00801028"/>
    <w:rsid w:val="008022A9"/>
    <w:rsid w:val="00803A16"/>
    <w:rsid w:val="0080545F"/>
    <w:rsid w:val="008068B2"/>
    <w:rsid w:val="00812B56"/>
    <w:rsid w:val="00813FEE"/>
    <w:rsid w:val="008157C6"/>
    <w:rsid w:val="00817972"/>
    <w:rsid w:val="0082133F"/>
    <w:rsid w:val="008217B4"/>
    <w:rsid w:val="008218F4"/>
    <w:rsid w:val="008263D6"/>
    <w:rsid w:val="008265BA"/>
    <w:rsid w:val="00827168"/>
    <w:rsid w:val="00832ADA"/>
    <w:rsid w:val="00832E9F"/>
    <w:rsid w:val="008408C2"/>
    <w:rsid w:val="00840ADE"/>
    <w:rsid w:val="0084686B"/>
    <w:rsid w:val="00847031"/>
    <w:rsid w:val="0085067B"/>
    <w:rsid w:val="00851547"/>
    <w:rsid w:val="00851F79"/>
    <w:rsid w:val="00856F32"/>
    <w:rsid w:val="00865BDB"/>
    <w:rsid w:val="0086679B"/>
    <w:rsid w:val="00867740"/>
    <w:rsid w:val="00871339"/>
    <w:rsid w:val="00872E4A"/>
    <w:rsid w:val="008730AD"/>
    <w:rsid w:val="008740C0"/>
    <w:rsid w:val="00874C15"/>
    <w:rsid w:val="0088064E"/>
    <w:rsid w:val="00880DE8"/>
    <w:rsid w:val="00881991"/>
    <w:rsid w:val="00882E84"/>
    <w:rsid w:val="00886896"/>
    <w:rsid w:val="00894951"/>
    <w:rsid w:val="00895620"/>
    <w:rsid w:val="00897DA1"/>
    <w:rsid w:val="008A044F"/>
    <w:rsid w:val="008A148A"/>
    <w:rsid w:val="008A4185"/>
    <w:rsid w:val="008A4DD6"/>
    <w:rsid w:val="008A4F5A"/>
    <w:rsid w:val="008A5C15"/>
    <w:rsid w:val="008B1722"/>
    <w:rsid w:val="008B5989"/>
    <w:rsid w:val="008B7FAB"/>
    <w:rsid w:val="008C16E8"/>
    <w:rsid w:val="008D0046"/>
    <w:rsid w:val="008D4881"/>
    <w:rsid w:val="008D48BE"/>
    <w:rsid w:val="008D4ED5"/>
    <w:rsid w:val="008D5093"/>
    <w:rsid w:val="008D79F3"/>
    <w:rsid w:val="008E19EC"/>
    <w:rsid w:val="008E2BBE"/>
    <w:rsid w:val="008E77A7"/>
    <w:rsid w:val="008F06FD"/>
    <w:rsid w:val="00901B91"/>
    <w:rsid w:val="00901F5F"/>
    <w:rsid w:val="009116ED"/>
    <w:rsid w:val="0091466C"/>
    <w:rsid w:val="00915385"/>
    <w:rsid w:val="00917C9E"/>
    <w:rsid w:val="00917E97"/>
    <w:rsid w:val="00922F1F"/>
    <w:rsid w:val="00924232"/>
    <w:rsid w:val="009247C4"/>
    <w:rsid w:val="009251AE"/>
    <w:rsid w:val="00926F64"/>
    <w:rsid w:val="00927605"/>
    <w:rsid w:val="00931A81"/>
    <w:rsid w:val="00931FED"/>
    <w:rsid w:val="00942BA5"/>
    <w:rsid w:val="00943FB3"/>
    <w:rsid w:val="00951CD2"/>
    <w:rsid w:val="009524D0"/>
    <w:rsid w:val="00953947"/>
    <w:rsid w:val="009569B1"/>
    <w:rsid w:val="009601DB"/>
    <w:rsid w:val="009619D8"/>
    <w:rsid w:val="00963312"/>
    <w:rsid w:val="00970FB2"/>
    <w:rsid w:val="00973174"/>
    <w:rsid w:val="009758A4"/>
    <w:rsid w:val="00985C7B"/>
    <w:rsid w:val="009A33AE"/>
    <w:rsid w:val="009A4EC7"/>
    <w:rsid w:val="009A65C2"/>
    <w:rsid w:val="009A7767"/>
    <w:rsid w:val="009B2070"/>
    <w:rsid w:val="009B4610"/>
    <w:rsid w:val="009B6199"/>
    <w:rsid w:val="009B74A0"/>
    <w:rsid w:val="009C03D7"/>
    <w:rsid w:val="009C316A"/>
    <w:rsid w:val="009C72AC"/>
    <w:rsid w:val="009C75B1"/>
    <w:rsid w:val="009D2CD7"/>
    <w:rsid w:val="009D4E59"/>
    <w:rsid w:val="009D6825"/>
    <w:rsid w:val="009D6C37"/>
    <w:rsid w:val="009D7796"/>
    <w:rsid w:val="009E2D29"/>
    <w:rsid w:val="009E517F"/>
    <w:rsid w:val="009E6812"/>
    <w:rsid w:val="009E6D45"/>
    <w:rsid w:val="009F1396"/>
    <w:rsid w:val="009F29C6"/>
    <w:rsid w:val="009F4938"/>
    <w:rsid w:val="009F5674"/>
    <w:rsid w:val="009F6212"/>
    <w:rsid w:val="009F70FF"/>
    <w:rsid w:val="00A00322"/>
    <w:rsid w:val="00A00F1F"/>
    <w:rsid w:val="00A021DC"/>
    <w:rsid w:val="00A04825"/>
    <w:rsid w:val="00A04F1D"/>
    <w:rsid w:val="00A07C94"/>
    <w:rsid w:val="00A20CAF"/>
    <w:rsid w:val="00A24DC8"/>
    <w:rsid w:val="00A24EBC"/>
    <w:rsid w:val="00A2681D"/>
    <w:rsid w:val="00A31874"/>
    <w:rsid w:val="00A34724"/>
    <w:rsid w:val="00A35EA4"/>
    <w:rsid w:val="00A3737D"/>
    <w:rsid w:val="00A3739D"/>
    <w:rsid w:val="00A3755D"/>
    <w:rsid w:val="00A448FA"/>
    <w:rsid w:val="00A45DD5"/>
    <w:rsid w:val="00A47571"/>
    <w:rsid w:val="00A50382"/>
    <w:rsid w:val="00A534B9"/>
    <w:rsid w:val="00A55129"/>
    <w:rsid w:val="00A62EC2"/>
    <w:rsid w:val="00A644D3"/>
    <w:rsid w:val="00A72250"/>
    <w:rsid w:val="00A732A0"/>
    <w:rsid w:val="00A76C34"/>
    <w:rsid w:val="00A81A8B"/>
    <w:rsid w:val="00A84599"/>
    <w:rsid w:val="00A85F5C"/>
    <w:rsid w:val="00A908D6"/>
    <w:rsid w:val="00A93E61"/>
    <w:rsid w:val="00A957C9"/>
    <w:rsid w:val="00AA0151"/>
    <w:rsid w:val="00AA0902"/>
    <w:rsid w:val="00AB1468"/>
    <w:rsid w:val="00AB40A3"/>
    <w:rsid w:val="00AB5184"/>
    <w:rsid w:val="00AB5189"/>
    <w:rsid w:val="00AB67DA"/>
    <w:rsid w:val="00AC034D"/>
    <w:rsid w:val="00AC0CE9"/>
    <w:rsid w:val="00AC29BC"/>
    <w:rsid w:val="00AC39AD"/>
    <w:rsid w:val="00AC4497"/>
    <w:rsid w:val="00AD08F7"/>
    <w:rsid w:val="00AD300F"/>
    <w:rsid w:val="00AD389F"/>
    <w:rsid w:val="00AD3DF4"/>
    <w:rsid w:val="00AD7A36"/>
    <w:rsid w:val="00AE0049"/>
    <w:rsid w:val="00AE02DA"/>
    <w:rsid w:val="00AE3461"/>
    <w:rsid w:val="00AF24E2"/>
    <w:rsid w:val="00B0085B"/>
    <w:rsid w:val="00B06CA3"/>
    <w:rsid w:val="00B10A63"/>
    <w:rsid w:val="00B11690"/>
    <w:rsid w:val="00B12307"/>
    <w:rsid w:val="00B1451A"/>
    <w:rsid w:val="00B17267"/>
    <w:rsid w:val="00B2194B"/>
    <w:rsid w:val="00B22791"/>
    <w:rsid w:val="00B2612A"/>
    <w:rsid w:val="00B26B9E"/>
    <w:rsid w:val="00B27824"/>
    <w:rsid w:val="00B301D7"/>
    <w:rsid w:val="00B334CC"/>
    <w:rsid w:val="00B34780"/>
    <w:rsid w:val="00B37D34"/>
    <w:rsid w:val="00B41596"/>
    <w:rsid w:val="00B42ACD"/>
    <w:rsid w:val="00B450C0"/>
    <w:rsid w:val="00B4562E"/>
    <w:rsid w:val="00B46000"/>
    <w:rsid w:val="00B469C8"/>
    <w:rsid w:val="00B504DA"/>
    <w:rsid w:val="00B5066E"/>
    <w:rsid w:val="00B51692"/>
    <w:rsid w:val="00B51A18"/>
    <w:rsid w:val="00B60E49"/>
    <w:rsid w:val="00B6648B"/>
    <w:rsid w:val="00B71736"/>
    <w:rsid w:val="00B7200E"/>
    <w:rsid w:val="00B75D8D"/>
    <w:rsid w:val="00B7792A"/>
    <w:rsid w:val="00B80941"/>
    <w:rsid w:val="00B857F8"/>
    <w:rsid w:val="00B90FEC"/>
    <w:rsid w:val="00B94DB1"/>
    <w:rsid w:val="00BA06F2"/>
    <w:rsid w:val="00BA07FA"/>
    <w:rsid w:val="00BA2190"/>
    <w:rsid w:val="00BA2F45"/>
    <w:rsid w:val="00BA4753"/>
    <w:rsid w:val="00BA65FC"/>
    <w:rsid w:val="00BA7A37"/>
    <w:rsid w:val="00BB08C9"/>
    <w:rsid w:val="00BB1AEB"/>
    <w:rsid w:val="00BB5F0D"/>
    <w:rsid w:val="00BB6898"/>
    <w:rsid w:val="00BB7435"/>
    <w:rsid w:val="00BC1A85"/>
    <w:rsid w:val="00BC2D96"/>
    <w:rsid w:val="00BC2EFB"/>
    <w:rsid w:val="00BC2F56"/>
    <w:rsid w:val="00BC6BE0"/>
    <w:rsid w:val="00BD1757"/>
    <w:rsid w:val="00BD3EB2"/>
    <w:rsid w:val="00BD407C"/>
    <w:rsid w:val="00BD509F"/>
    <w:rsid w:val="00BE1B35"/>
    <w:rsid w:val="00BE1EDF"/>
    <w:rsid w:val="00BE417D"/>
    <w:rsid w:val="00BF6603"/>
    <w:rsid w:val="00C006A5"/>
    <w:rsid w:val="00C14279"/>
    <w:rsid w:val="00C14983"/>
    <w:rsid w:val="00C21039"/>
    <w:rsid w:val="00C21AEE"/>
    <w:rsid w:val="00C237C3"/>
    <w:rsid w:val="00C35F93"/>
    <w:rsid w:val="00C3788A"/>
    <w:rsid w:val="00C430E8"/>
    <w:rsid w:val="00C51055"/>
    <w:rsid w:val="00C52CF3"/>
    <w:rsid w:val="00C5485C"/>
    <w:rsid w:val="00C55939"/>
    <w:rsid w:val="00C64F87"/>
    <w:rsid w:val="00C67EDA"/>
    <w:rsid w:val="00C706EF"/>
    <w:rsid w:val="00C72C16"/>
    <w:rsid w:val="00C72CD4"/>
    <w:rsid w:val="00C73C5A"/>
    <w:rsid w:val="00C802AB"/>
    <w:rsid w:val="00C804A8"/>
    <w:rsid w:val="00C82028"/>
    <w:rsid w:val="00C835A9"/>
    <w:rsid w:val="00C918D3"/>
    <w:rsid w:val="00C91FA8"/>
    <w:rsid w:val="00C958F1"/>
    <w:rsid w:val="00CA0A72"/>
    <w:rsid w:val="00CA1864"/>
    <w:rsid w:val="00CA35E2"/>
    <w:rsid w:val="00CA3DEE"/>
    <w:rsid w:val="00CA58A8"/>
    <w:rsid w:val="00CA7015"/>
    <w:rsid w:val="00CB3ECD"/>
    <w:rsid w:val="00CB49D6"/>
    <w:rsid w:val="00CB60D9"/>
    <w:rsid w:val="00CC039E"/>
    <w:rsid w:val="00CC0F05"/>
    <w:rsid w:val="00CC13CD"/>
    <w:rsid w:val="00CC26FB"/>
    <w:rsid w:val="00CC2E4D"/>
    <w:rsid w:val="00CC513C"/>
    <w:rsid w:val="00CC5A0F"/>
    <w:rsid w:val="00CD1B99"/>
    <w:rsid w:val="00CD22D1"/>
    <w:rsid w:val="00CE1756"/>
    <w:rsid w:val="00CE1D76"/>
    <w:rsid w:val="00CE4EDA"/>
    <w:rsid w:val="00CE5516"/>
    <w:rsid w:val="00CF25B3"/>
    <w:rsid w:val="00CF41D4"/>
    <w:rsid w:val="00D064CD"/>
    <w:rsid w:val="00D07FAD"/>
    <w:rsid w:val="00D12EFC"/>
    <w:rsid w:val="00D14814"/>
    <w:rsid w:val="00D158D2"/>
    <w:rsid w:val="00D209DB"/>
    <w:rsid w:val="00D215F4"/>
    <w:rsid w:val="00D248B9"/>
    <w:rsid w:val="00D25798"/>
    <w:rsid w:val="00D262E4"/>
    <w:rsid w:val="00D36C80"/>
    <w:rsid w:val="00D43D5D"/>
    <w:rsid w:val="00D51605"/>
    <w:rsid w:val="00D51864"/>
    <w:rsid w:val="00D52576"/>
    <w:rsid w:val="00D5400C"/>
    <w:rsid w:val="00D55CE0"/>
    <w:rsid w:val="00D57376"/>
    <w:rsid w:val="00D712F9"/>
    <w:rsid w:val="00D730DC"/>
    <w:rsid w:val="00D746FD"/>
    <w:rsid w:val="00D766DB"/>
    <w:rsid w:val="00D76C7A"/>
    <w:rsid w:val="00D77BDD"/>
    <w:rsid w:val="00D82911"/>
    <w:rsid w:val="00D84CC8"/>
    <w:rsid w:val="00D87BDC"/>
    <w:rsid w:val="00D906AA"/>
    <w:rsid w:val="00D95675"/>
    <w:rsid w:val="00DA0EF4"/>
    <w:rsid w:val="00DA43B9"/>
    <w:rsid w:val="00DA67F3"/>
    <w:rsid w:val="00DA68BA"/>
    <w:rsid w:val="00DB2714"/>
    <w:rsid w:val="00DB3FE0"/>
    <w:rsid w:val="00DB5FAE"/>
    <w:rsid w:val="00DC21BC"/>
    <w:rsid w:val="00DC53CC"/>
    <w:rsid w:val="00DD1115"/>
    <w:rsid w:val="00DD2D6E"/>
    <w:rsid w:val="00DD415D"/>
    <w:rsid w:val="00DE3385"/>
    <w:rsid w:val="00DE4173"/>
    <w:rsid w:val="00DE56BF"/>
    <w:rsid w:val="00DE650B"/>
    <w:rsid w:val="00DF457D"/>
    <w:rsid w:val="00DF56D1"/>
    <w:rsid w:val="00DF6180"/>
    <w:rsid w:val="00DF6DB5"/>
    <w:rsid w:val="00E00357"/>
    <w:rsid w:val="00E037EC"/>
    <w:rsid w:val="00E03913"/>
    <w:rsid w:val="00E06A57"/>
    <w:rsid w:val="00E12D22"/>
    <w:rsid w:val="00E13122"/>
    <w:rsid w:val="00E15FD9"/>
    <w:rsid w:val="00E2076D"/>
    <w:rsid w:val="00E26A90"/>
    <w:rsid w:val="00E26D5E"/>
    <w:rsid w:val="00E343A9"/>
    <w:rsid w:val="00E35DCA"/>
    <w:rsid w:val="00E36491"/>
    <w:rsid w:val="00E37EBE"/>
    <w:rsid w:val="00E43B3A"/>
    <w:rsid w:val="00E46361"/>
    <w:rsid w:val="00E46DA6"/>
    <w:rsid w:val="00E47986"/>
    <w:rsid w:val="00E51E39"/>
    <w:rsid w:val="00E52B8F"/>
    <w:rsid w:val="00E52C53"/>
    <w:rsid w:val="00E54CAD"/>
    <w:rsid w:val="00E6073E"/>
    <w:rsid w:val="00E6211E"/>
    <w:rsid w:val="00E679D1"/>
    <w:rsid w:val="00E8013D"/>
    <w:rsid w:val="00E858B7"/>
    <w:rsid w:val="00E863BE"/>
    <w:rsid w:val="00E87104"/>
    <w:rsid w:val="00E87496"/>
    <w:rsid w:val="00E9546C"/>
    <w:rsid w:val="00E96C64"/>
    <w:rsid w:val="00E97956"/>
    <w:rsid w:val="00EA0E48"/>
    <w:rsid w:val="00EA3A11"/>
    <w:rsid w:val="00EA4661"/>
    <w:rsid w:val="00EA4B93"/>
    <w:rsid w:val="00EA4BA5"/>
    <w:rsid w:val="00EA4F4F"/>
    <w:rsid w:val="00EA5325"/>
    <w:rsid w:val="00EA716F"/>
    <w:rsid w:val="00EA7FB7"/>
    <w:rsid w:val="00EB3983"/>
    <w:rsid w:val="00EB5FAB"/>
    <w:rsid w:val="00EC3157"/>
    <w:rsid w:val="00EC45AC"/>
    <w:rsid w:val="00EC6F40"/>
    <w:rsid w:val="00ED0DF9"/>
    <w:rsid w:val="00ED3619"/>
    <w:rsid w:val="00ED4425"/>
    <w:rsid w:val="00EE3A1C"/>
    <w:rsid w:val="00EF0320"/>
    <w:rsid w:val="00EF06BF"/>
    <w:rsid w:val="00EF2042"/>
    <w:rsid w:val="00EF2F98"/>
    <w:rsid w:val="00EF7935"/>
    <w:rsid w:val="00F00EC8"/>
    <w:rsid w:val="00F04B05"/>
    <w:rsid w:val="00F05799"/>
    <w:rsid w:val="00F061AE"/>
    <w:rsid w:val="00F0677F"/>
    <w:rsid w:val="00F0781D"/>
    <w:rsid w:val="00F11365"/>
    <w:rsid w:val="00F118D8"/>
    <w:rsid w:val="00F1277E"/>
    <w:rsid w:val="00F134F9"/>
    <w:rsid w:val="00F143B2"/>
    <w:rsid w:val="00F16022"/>
    <w:rsid w:val="00F20A15"/>
    <w:rsid w:val="00F24CED"/>
    <w:rsid w:val="00F256CC"/>
    <w:rsid w:val="00F30479"/>
    <w:rsid w:val="00F32C95"/>
    <w:rsid w:val="00F3534B"/>
    <w:rsid w:val="00F372E1"/>
    <w:rsid w:val="00F40370"/>
    <w:rsid w:val="00F4389D"/>
    <w:rsid w:val="00F447BF"/>
    <w:rsid w:val="00F44F34"/>
    <w:rsid w:val="00F454FC"/>
    <w:rsid w:val="00F45E64"/>
    <w:rsid w:val="00F4742F"/>
    <w:rsid w:val="00F554E0"/>
    <w:rsid w:val="00F55ED6"/>
    <w:rsid w:val="00F57892"/>
    <w:rsid w:val="00F61944"/>
    <w:rsid w:val="00F656D8"/>
    <w:rsid w:val="00F70449"/>
    <w:rsid w:val="00F7657F"/>
    <w:rsid w:val="00F76CEA"/>
    <w:rsid w:val="00F77604"/>
    <w:rsid w:val="00F82F5A"/>
    <w:rsid w:val="00F85877"/>
    <w:rsid w:val="00F859A0"/>
    <w:rsid w:val="00F9032D"/>
    <w:rsid w:val="00F94A5F"/>
    <w:rsid w:val="00FA0260"/>
    <w:rsid w:val="00FA2269"/>
    <w:rsid w:val="00FA3426"/>
    <w:rsid w:val="00FB01CB"/>
    <w:rsid w:val="00FB0D36"/>
    <w:rsid w:val="00FB4E8F"/>
    <w:rsid w:val="00FB604C"/>
    <w:rsid w:val="00FC062C"/>
    <w:rsid w:val="00FC165E"/>
    <w:rsid w:val="00FC38C5"/>
    <w:rsid w:val="00FC3DA7"/>
    <w:rsid w:val="00FC49C9"/>
    <w:rsid w:val="00FC6BC6"/>
    <w:rsid w:val="00FC7231"/>
    <w:rsid w:val="00FD1510"/>
    <w:rsid w:val="00FD5C2C"/>
    <w:rsid w:val="00FD7470"/>
    <w:rsid w:val="00FD7FB2"/>
    <w:rsid w:val="00FE100D"/>
    <w:rsid w:val="00FE19C4"/>
    <w:rsid w:val="00FE26B5"/>
    <w:rsid w:val="00FE2AF1"/>
    <w:rsid w:val="00FE6FDB"/>
    <w:rsid w:val="00FE76F4"/>
    <w:rsid w:val="00FF0EEC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FA2F7"/>
  <w15:docId w15:val="{EFF3AD44-E19C-454C-BC96-686A6757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941"/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B80941"/>
    <w:pPr>
      <w:keepNext/>
      <w:outlineLvl w:val="0"/>
    </w:pPr>
    <w:rPr>
      <w:rFonts w:cs="Arial"/>
      <w:b/>
      <w:bCs/>
      <w:snapToGrid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A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8094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094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80941"/>
    <w:rPr>
      <w:rFonts w:ascii="Arial" w:eastAsia="Times New Roman" w:hAnsi="Arial" w:cs="Arial"/>
      <w:b/>
      <w:bCs/>
      <w:snapToGrid w:val="0"/>
      <w:sz w:val="26"/>
      <w:szCs w:val="26"/>
    </w:rPr>
  </w:style>
  <w:style w:type="paragraph" w:customStyle="1" w:styleId="Legal1">
    <w:name w:val="Legal[1]"/>
    <w:basedOn w:val="Normal"/>
    <w:rsid w:val="00B80941"/>
    <w:pPr>
      <w:widowControl w:val="0"/>
      <w:numPr>
        <w:numId w:val="1"/>
      </w:numPr>
      <w:outlineLvl w:val="0"/>
    </w:pPr>
    <w:rPr>
      <w:lang w:val="en-US"/>
    </w:rPr>
  </w:style>
  <w:style w:type="paragraph" w:customStyle="1" w:styleId="Legal2">
    <w:name w:val="Legal[2]"/>
    <w:basedOn w:val="Normal"/>
    <w:rsid w:val="00B80941"/>
    <w:pPr>
      <w:widowControl w:val="0"/>
      <w:numPr>
        <w:ilvl w:val="1"/>
        <w:numId w:val="1"/>
      </w:numPr>
      <w:outlineLvl w:val="1"/>
    </w:pPr>
    <w:rPr>
      <w:lang w:val="en-US"/>
    </w:rPr>
  </w:style>
  <w:style w:type="paragraph" w:customStyle="1" w:styleId="Legal3">
    <w:name w:val="Legal[3]"/>
    <w:basedOn w:val="Normal"/>
    <w:rsid w:val="00B80941"/>
    <w:pPr>
      <w:widowControl w:val="0"/>
      <w:numPr>
        <w:ilvl w:val="2"/>
        <w:numId w:val="1"/>
      </w:numPr>
      <w:outlineLvl w:val="2"/>
    </w:pPr>
    <w:rPr>
      <w:lang w:val="en-US"/>
    </w:rPr>
  </w:style>
  <w:style w:type="paragraph" w:styleId="Header">
    <w:name w:val="header"/>
    <w:basedOn w:val="Normal"/>
    <w:link w:val="HeaderChar"/>
    <w:rsid w:val="00B809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80941"/>
    <w:rPr>
      <w:rFonts w:ascii="Arial" w:eastAsia="Times New Roman" w:hAnsi="Arial" w:cs="Times New Roman"/>
      <w:snapToGrid w:val="0"/>
      <w:szCs w:val="20"/>
    </w:rPr>
  </w:style>
  <w:style w:type="paragraph" w:styleId="Footer">
    <w:name w:val="footer"/>
    <w:basedOn w:val="Normal"/>
    <w:link w:val="FooterChar"/>
    <w:rsid w:val="00B809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80941"/>
    <w:rPr>
      <w:rFonts w:ascii="Arial" w:eastAsia="Times New Roman" w:hAnsi="Arial" w:cs="Times New Roman"/>
      <w:snapToGrid w:val="0"/>
      <w:szCs w:val="20"/>
    </w:rPr>
  </w:style>
  <w:style w:type="character" w:styleId="PageNumber">
    <w:name w:val="page number"/>
    <w:basedOn w:val="DefaultParagraphFont"/>
    <w:rsid w:val="00B80941"/>
  </w:style>
  <w:style w:type="paragraph" w:customStyle="1" w:styleId="Bullet">
    <w:name w:val="Bullet"/>
    <w:basedOn w:val="Normal"/>
    <w:rsid w:val="00B80941"/>
    <w:pPr>
      <w:numPr>
        <w:numId w:val="2"/>
      </w:numPr>
    </w:pPr>
    <w:rPr>
      <w:rFonts w:ascii="Times New Roman" w:hAnsi="Times New Roman"/>
      <w:snapToGrid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941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qFormat/>
    <w:rsid w:val="00B80941"/>
    <w:pPr>
      <w:ind w:left="720"/>
      <w:contextualSpacing/>
    </w:pPr>
  </w:style>
  <w:style w:type="table" w:styleId="TableGrid">
    <w:name w:val="Table Grid"/>
    <w:basedOn w:val="TableNormal"/>
    <w:uiPriority w:val="59"/>
    <w:rsid w:val="0038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8199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8217B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8217B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B857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A2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A23"/>
    <w:rPr>
      <w:rFonts w:ascii="Arial" w:eastAsia="Times New Roman" w:hAnsi="Arial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3A23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D5737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8E19E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F70449"/>
    <w:rPr>
      <w:rFonts w:ascii="Arial" w:eastAsia="Times New Roman" w:hAnsi="Arial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0037D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91C1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F3A3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A70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63A70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63A70"/>
    <w:rPr>
      <w:b/>
      <w:bCs/>
    </w:rPr>
  </w:style>
  <w:style w:type="paragraph" w:styleId="BodyText">
    <w:name w:val="Body Text"/>
    <w:basedOn w:val="Normal"/>
    <w:link w:val="BodyTextChar"/>
    <w:rsid w:val="0034669D"/>
    <w:pPr>
      <w:jc w:val="both"/>
    </w:pPr>
    <w:rPr>
      <w:rFonts w:ascii="Times New Roman" w:hAnsi="Times New Roman"/>
      <w:snapToGrid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466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3BE5-57DC-4993-BB23-2257B51A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Trolley Mark</dc:creator>
  <cp:lastModifiedBy>Aimee Jones</cp:lastModifiedBy>
  <cp:revision>2</cp:revision>
  <cp:lastPrinted>2018-01-25T16:10:00Z</cp:lastPrinted>
  <dcterms:created xsi:type="dcterms:W3CDTF">2024-03-25T13:31:00Z</dcterms:created>
  <dcterms:modified xsi:type="dcterms:W3CDTF">2024-03-25T13:31:00Z</dcterms:modified>
</cp:coreProperties>
</file>